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东建字[202</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   号</w:t>
      </w: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关于进一步深化施工图审查流程再造</w:t>
      </w:r>
    </w:p>
    <w:p>
      <w:pPr>
        <w:jc w:val="center"/>
        <w:rPr>
          <w:rFonts w:ascii="楷体" w:hAnsi="楷体" w:eastAsia="楷体"/>
          <w:color w:val="000000" w:themeColor="text1"/>
          <w:sz w:val="32"/>
          <w:szCs w:val="32"/>
          <w14:textFill>
            <w14:solidFill>
              <w14:schemeClr w14:val="tx1"/>
            </w14:solidFill>
          </w14:textFill>
        </w:rPr>
      </w:pPr>
      <w:r>
        <w:rPr>
          <w:rFonts w:hint="eastAsia"/>
          <w:color w:val="000000" w:themeColor="text1"/>
          <w:sz w:val="44"/>
          <w:szCs w:val="44"/>
          <w14:textFill>
            <w14:solidFill>
              <w14:schemeClr w14:val="tx1"/>
            </w14:solidFill>
          </w14:textFill>
        </w:rPr>
        <w:t>提高建设工程审批效能的实施意见</w:t>
      </w:r>
    </w:p>
    <w:p>
      <w:pPr>
        <w:rPr>
          <w:rFonts w:ascii="仿宋" w:hAnsi="仿宋" w:eastAsia="仿宋" w:cs="仿宋"/>
          <w:color w:val="000000" w:themeColor="text1"/>
          <w:sz w:val="32"/>
          <w:szCs w:val="32"/>
          <w14:textFill>
            <w14:solidFill>
              <w14:schemeClr w14:val="tx1"/>
            </w14:solidFill>
          </w14:textFill>
        </w:rPr>
      </w:pPr>
      <w:r>
        <w:rPr>
          <w:rFonts w:hint="eastAsia" w:ascii="仿宋_GB2312" w:hAnsi="仿宋" w:eastAsia="仿宋_GB2312" w:cs="仿宋"/>
          <w:color w:val="000000"/>
          <w:sz w:val="32"/>
          <w:szCs w:val="32"/>
        </w:rPr>
        <w:t>各县区（市属开发区）住房城乡建设局、财政局、行政审批服务</w:t>
      </w:r>
      <w:r>
        <w:rPr>
          <w:rFonts w:hint="eastAsia" w:ascii="仿宋_GB2312" w:hAnsi="仿宋" w:eastAsia="仿宋_GB2312" w:cs="仿宋"/>
          <w:color w:val="000000"/>
          <w:sz w:val="32"/>
          <w:szCs w:val="32"/>
          <w:lang w:eastAsia="zh-CN"/>
        </w:rPr>
        <w:t>局</w:t>
      </w:r>
      <w:bookmarkStart w:id="0" w:name="_GoBack"/>
      <w:bookmarkEnd w:id="0"/>
      <w:r>
        <w:rPr>
          <w:rFonts w:hint="eastAsia" w:ascii="仿宋" w:hAnsi="仿宋" w:eastAsia="仿宋" w:cs="仿宋"/>
          <w:color w:val="000000" w:themeColor="text1"/>
          <w:sz w:val="32"/>
          <w:szCs w:val="32"/>
          <w14:textFill>
            <w14:solidFill>
              <w14:schemeClr w14:val="tx1"/>
            </w14:solidFill>
          </w14:textFill>
        </w:rPr>
        <w:t>，各有关单位：</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根据《中共东营市委 东营市人民政府关于深化制度创新加快流程再造的实施意见》（东发〔2019〕15号）要求，为进一步深化施工图审查流程再造，提高建设工程审批效能，强化勘察设计质量安全主体责任，结合我市工作实际，制定本意见。</w:t>
      </w:r>
    </w:p>
    <w:p>
      <w:pPr>
        <w:ind w:firstLine="64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一、总体要求</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以习近平新时代中国特色社会主义思想为指导，认真贯彻落实党的十九届</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中全会</w:t>
      </w:r>
      <w:r>
        <w:rPr>
          <w:rFonts w:hint="eastAsia" w:ascii="仿宋" w:hAnsi="仿宋" w:eastAsia="仿宋" w:cs="仿宋"/>
          <w:sz w:val="32"/>
          <w:szCs w:val="32"/>
        </w:rPr>
        <w:t>精神，按照国家、省、市工程建设项目审批制度改革有关精神</w:t>
      </w:r>
      <w:r>
        <w:rPr>
          <w:rFonts w:hint="eastAsia" w:ascii="仿宋" w:hAnsi="仿宋" w:eastAsia="仿宋" w:cs="仿宋"/>
          <w:color w:val="000000" w:themeColor="text1"/>
          <w:sz w:val="32"/>
          <w:szCs w:val="32"/>
          <w14:textFill>
            <w14:solidFill>
              <w14:schemeClr w14:val="tx1"/>
            </w14:solidFill>
          </w14:textFill>
        </w:rPr>
        <w:t>，深入落实《中共东营市委 东营市人民政府关于深化制度创新加快流程再造的实施意见》（东发〔2019〕15号），深化施工图审查制度改革，实行施工图审查和勘察设计质量安全告知承诺制，采取根据建设工程行业、规模、性质等条件缩减审查范围，强化工程勘察设计质量安全监管等措施，压缩施工图审查时间，提高审查效率，达到“放管服”改革的要求。</w:t>
      </w:r>
    </w:p>
    <w:p>
      <w:pPr>
        <w:ind w:firstLine="64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二、适用范围</w:t>
      </w:r>
    </w:p>
    <w:p>
      <w:pPr>
        <w:ind w:firstLine="64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全市范围内</w:t>
      </w:r>
      <w:r>
        <w:rPr>
          <w:rFonts w:hint="eastAsia" w:ascii="仿宋" w:hAnsi="仿宋" w:eastAsia="仿宋" w:cs="仿宋"/>
          <w:bCs/>
          <w:color w:val="000000" w:themeColor="text1"/>
          <w:sz w:val="32"/>
          <w:szCs w:val="32"/>
          <w14:textFill>
            <w14:solidFill>
              <w14:schemeClr w14:val="tx1"/>
            </w14:solidFill>
          </w14:textFill>
        </w:rPr>
        <w:t>房屋建筑和市政基础设施工程</w:t>
      </w:r>
      <w:r>
        <w:rPr>
          <w:rFonts w:hint="eastAsia" w:ascii="仿宋" w:hAnsi="仿宋" w:eastAsia="仿宋" w:cs="仿宋"/>
          <w:color w:val="000000" w:themeColor="text1"/>
          <w:sz w:val="32"/>
          <w:szCs w:val="32"/>
          <w14:textFill>
            <w14:solidFill>
              <w14:schemeClr w14:val="tx1"/>
            </w14:solidFill>
          </w14:textFill>
        </w:rPr>
        <w:t>（包括“拿地即开工”的工业项目等</w:t>
      </w:r>
      <w:r>
        <w:rPr>
          <w:rFonts w:hint="eastAsia" w:ascii="仿宋" w:hAnsi="仿宋" w:eastAsia="仿宋" w:cs="仿宋"/>
          <w:bCs/>
          <w:color w:val="000000" w:themeColor="text1"/>
          <w:sz w:val="32"/>
          <w:szCs w:val="32"/>
          <w14:textFill>
            <w14:solidFill>
              <w14:schemeClr w14:val="tx1"/>
            </w14:solidFill>
          </w14:textFill>
        </w:rPr>
        <w:t>），不包括特殊建设工程、人员密集场所和地下工程。</w:t>
      </w:r>
    </w:p>
    <w:p>
      <w:pPr>
        <w:ind w:firstLine="64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三、实施施工图审查流程再造</w:t>
      </w:r>
    </w:p>
    <w:p>
      <w:pPr>
        <w:ind w:firstLine="640"/>
        <w:rPr>
          <w:rFonts w:ascii="华文楷体" w:hAnsi="华文楷体" w:eastAsia="华文楷体" w:cs="华文楷体"/>
          <w:color w:val="000000" w:themeColor="text1"/>
          <w:sz w:val="32"/>
          <w:szCs w:val="32"/>
          <w14:textFill>
            <w14:solidFill>
              <w14:schemeClr w14:val="tx1"/>
            </w14:solidFill>
          </w14:textFill>
        </w:rPr>
      </w:pPr>
      <w:r>
        <w:rPr>
          <w:rFonts w:hint="eastAsia" w:ascii="华文楷体" w:hAnsi="华文楷体" w:eastAsia="华文楷体" w:cs="华文楷体"/>
          <w:color w:val="000000" w:themeColor="text1"/>
          <w:sz w:val="32"/>
          <w:szCs w:val="32"/>
          <w14:textFill>
            <w14:solidFill>
              <w14:schemeClr w14:val="tx1"/>
            </w14:solidFill>
          </w14:textFill>
        </w:rPr>
        <w:t>（一）缩减施工图审查范围。</w:t>
      </w:r>
      <w:r>
        <w:rPr>
          <w:rFonts w:hint="eastAsia" w:ascii="仿宋" w:hAnsi="仿宋" w:eastAsia="仿宋" w:cs="仿宋"/>
          <w:color w:val="000000" w:themeColor="text1"/>
          <w:sz w:val="32"/>
          <w:szCs w:val="32"/>
          <w14:textFill>
            <w14:solidFill>
              <w14:schemeClr w14:val="tx1"/>
            </w14:solidFill>
          </w14:textFill>
        </w:rPr>
        <w:t>除桥梁外的小型市政工程，除学校、幼儿园、医院、养老机构外的小型建筑工程和园林绿化工程以及带方案出让土地的工业建设工程取消施工图审查，</w:t>
      </w:r>
      <w:r>
        <w:rPr>
          <w:rFonts w:hint="eastAsia" w:ascii="仿宋" w:hAnsi="仿宋" w:eastAsia="仿宋" w:cs="仿宋"/>
          <w:sz w:val="32"/>
          <w:szCs w:val="32"/>
        </w:rPr>
        <w:t>实行勘察设计质量安全告知承诺制</w:t>
      </w:r>
      <w:r>
        <w:rPr>
          <w:rFonts w:hint="eastAsia" w:ascii="仿宋" w:hAnsi="仿宋" w:eastAsia="仿宋" w:cs="仿宋"/>
          <w:color w:val="000000" w:themeColor="text1"/>
          <w:sz w:val="32"/>
          <w:szCs w:val="32"/>
          <w14:textFill>
            <w14:solidFill>
              <w14:schemeClr w14:val="tx1"/>
            </w14:solidFill>
          </w14:textFill>
        </w:rPr>
        <w:t>。</w:t>
      </w:r>
    </w:p>
    <w:p>
      <w:pPr>
        <w:ind w:firstLine="640"/>
        <w:rPr>
          <w:rFonts w:ascii="仿宋" w:hAnsi="仿宋" w:eastAsia="仿宋" w:cs="仿宋"/>
          <w:color w:val="000000" w:themeColor="text1"/>
          <w:sz w:val="32"/>
          <w:szCs w:val="32"/>
          <w14:textFill>
            <w14:solidFill>
              <w14:schemeClr w14:val="tx1"/>
            </w14:solidFill>
          </w14:textFill>
        </w:rPr>
      </w:pPr>
      <w:r>
        <w:rPr>
          <w:rFonts w:hint="eastAsia" w:ascii="华文楷体" w:hAnsi="华文楷体" w:eastAsia="华文楷体" w:cs="华文楷体"/>
          <w:color w:val="000000" w:themeColor="text1"/>
          <w:sz w:val="32"/>
          <w:szCs w:val="32"/>
          <w14:textFill>
            <w14:solidFill>
              <w14:schemeClr w14:val="tx1"/>
            </w14:solidFill>
          </w14:textFill>
        </w:rPr>
        <w:t>（二）容缺办理施工许可手续。</w:t>
      </w:r>
      <w:r>
        <w:rPr>
          <w:rFonts w:hint="eastAsia" w:ascii="仿宋" w:hAnsi="仿宋" w:eastAsia="仿宋" w:cs="仿宋"/>
          <w:color w:val="000000" w:themeColor="text1"/>
          <w:sz w:val="32"/>
          <w:szCs w:val="32"/>
          <w14:textFill>
            <w14:solidFill>
              <w14:schemeClr w14:val="tx1"/>
            </w14:solidFill>
          </w14:textFill>
        </w:rPr>
        <w:t>全市范围内房屋建筑和市政基础设施等工程在办理施工许可时，建设单位必须将全套施工图设计文件（含勘察文件）上传至政府购买服务的图审机构数字化审查平台</w:t>
      </w:r>
      <w:r>
        <w:rPr>
          <w:rFonts w:hint="eastAsia" w:ascii="仿宋" w:hAnsi="仿宋" w:eastAsia="仿宋" w:cs="仿宋"/>
          <w:sz w:val="32"/>
          <w:szCs w:val="32"/>
        </w:rPr>
        <w:t>。对取消施工图审查的建设项目，建设单位在办理施工许可手续时，采取告知承诺方式，承诺所使用的施工图设计文件符合建设工程法律法规及标准、规范等（附件1），可容缺办理施工许可（并联办理《工程质量监督登记证书》、《建筑工程施工安全报监证书》）手续。</w:t>
      </w:r>
      <w:r>
        <w:rPr>
          <w:rFonts w:hint="eastAsia" w:ascii="仿宋" w:hAnsi="仿宋" w:eastAsia="仿宋" w:cs="仿宋"/>
          <w:color w:val="000000" w:themeColor="text1"/>
          <w:sz w:val="32"/>
          <w:szCs w:val="32"/>
          <w14:textFill>
            <w14:solidFill>
              <w14:schemeClr w14:val="tx1"/>
            </w14:solidFill>
          </w14:textFill>
        </w:rPr>
        <w:t>对需要办理施工图设计文件审查的建设项目，《建设工程施工图设计文件审查合格书》不再作为施工许可办理的前置条件，由图审机构出具受理凭证（附件2），建设单位提供《建设项目容缺施工图审查合格书办理施工许可承诺书》（附件3），可容缺办理施工许可</w:t>
      </w:r>
      <w:r>
        <w:rPr>
          <w:rFonts w:hint="eastAsia" w:ascii="仿宋" w:hAnsi="仿宋" w:eastAsia="仿宋" w:cs="仿宋"/>
          <w:sz w:val="32"/>
          <w:szCs w:val="32"/>
        </w:rPr>
        <w:t>（并联办理《工程质量监督登记证书》、《建筑工程施工安全报监证书》）手续</w:t>
      </w:r>
      <w:r>
        <w:rPr>
          <w:rFonts w:hint="eastAsia" w:ascii="仿宋" w:hAnsi="仿宋" w:eastAsia="仿宋" w:cs="仿宋"/>
          <w:color w:val="000000" w:themeColor="text1"/>
          <w:sz w:val="32"/>
          <w:szCs w:val="32"/>
          <w14:textFill>
            <w14:solidFill>
              <w14:schemeClr w14:val="tx1"/>
            </w14:solidFill>
          </w14:textFill>
        </w:rPr>
        <w:t>，建设单位须在基础开工（含桩基，下同）前取得施工图审查合格书，并在取得施工图审查合格书后3个工作日内提交施工许可容缺的材料。</w:t>
      </w:r>
    </w:p>
    <w:p>
      <w:pPr>
        <w:ind w:firstLine="640"/>
        <w:rPr>
          <w:rFonts w:ascii="仿宋" w:hAnsi="仿宋" w:eastAsia="仿宋" w:cs="仿宋"/>
          <w:color w:val="000000" w:themeColor="text1"/>
          <w:sz w:val="32"/>
          <w:szCs w:val="32"/>
          <w14:textFill>
            <w14:solidFill>
              <w14:schemeClr w14:val="tx1"/>
            </w14:solidFill>
          </w14:textFill>
        </w:rPr>
      </w:pPr>
      <w:r>
        <w:rPr>
          <w:rFonts w:hint="eastAsia" w:ascii="华文楷体" w:hAnsi="华文楷体" w:eastAsia="华文楷体" w:cs="华文楷体"/>
          <w:color w:val="000000" w:themeColor="text1"/>
          <w:sz w:val="32"/>
          <w:szCs w:val="32"/>
          <w14:textFill>
            <w14:solidFill>
              <w14:schemeClr w14:val="tx1"/>
            </w14:solidFill>
          </w14:textFill>
        </w:rPr>
        <w:t>（三）严格施工图审查时限。</w:t>
      </w:r>
      <w:r>
        <w:rPr>
          <w:rFonts w:hint="eastAsia" w:ascii="仿宋" w:hAnsi="仿宋" w:eastAsia="仿宋" w:cs="仿宋"/>
          <w:color w:val="000000" w:themeColor="text1"/>
          <w:sz w:val="32"/>
          <w:szCs w:val="32"/>
          <w14:textFill>
            <w14:solidFill>
              <w14:schemeClr w14:val="tx1"/>
            </w14:solidFill>
          </w14:textFill>
        </w:rPr>
        <w:t>施工图审查机构自受理施工图审查设计文件后，须在7个工作日内完成一审，审查合格的，出具《建设工程施工图设计文件审查合格书》；审查不合格的，出具《建设工程施工图设计文件审查意见（一审）》，勘察设计单位应根据审查意见进行修改完善施工图设计文件并及时回复施工图审查机构，审查机构应在受理回复3个工作日内复审并出具复审意见，复审合格的出具《建设工程施工图设计文件审查合格书》，复审不合格的，建设单位应督促勘察设计企业及时修改报审，修改报审时间原则上不超过20个工作日。</w:t>
      </w:r>
    </w:p>
    <w:p>
      <w:pPr>
        <w:ind w:firstLine="640"/>
        <w:rPr>
          <w:rFonts w:ascii="楷体" w:hAnsi="楷体" w:eastAsia="楷体" w:cs="仿宋"/>
          <w:color w:val="000000" w:themeColor="text1"/>
          <w:sz w:val="32"/>
          <w:szCs w:val="32"/>
          <w14:textFill>
            <w14:solidFill>
              <w14:schemeClr w14:val="tx1"/>
            </w14:solidFill>
          </w14:textFill>
        </w:rPr>
      </w:pPr>
      <w:r>
        <w:rPr>
          <w:rFonts w:hint="eastAsia" w:ascii="楷体" w:hAnsi="楷体" w:eastAsia="楷体" w:cs="仿宋"/>
          <w:color w:val="000000" w:themeColor="text1"/>
          <w:sz w:val="32"/>
          <w:szCs w:val="32"/>
          <w14:textFill>
            <w14:solidFill>
              <w14:schemeClr w14:val="tx1"/>
            </w14:solidFill>
          </w14:textFill>
        </w:rPr>
        <w:t>（四）全面</w:t>
      </w:r>
      <w:r>
        <w:rPr>
          <w:rFonts w:hint="eastAsia" w:ascii="楷体" w:hAnsi="楷体" w:eastAsia="楷体" w:cs="仿宋"/>
          <w:color w:val="000000" w:themeColor="text1"/>
          <w:sz w:val="32"/>
          <w:szCs w:val="32"/>
          <w:lang w:eastAsia="zh-CN"/>
          <w14:textFill>
            <w14:solidFill>
              <w14:schemeClr w14:val="tx1"/>
            </w14:solidFill>
          </w14:textFill>
        </w:rPr>
        <w:t>加强</w:t>
      </w:r>
      <w:r>
        <w:rPr>
          <w:rFonts w:hint="eastAsia" w:ascii="楷体" w:hAnsi="楷体" w:eastAsia="楷体" w:cs="仿宋"/>
          <w:color w:val="000000" w:themeColor="text1"/>
          <w:sz w:val="32"/>
          <w:szCs w:val="32"/>
          <w14:textFill>
            <w14:solidFill>
              <w14:schemeClr w14:val="tx1"/>
            </w14:solidFill>
          </w14:textFill>
        </w:rPr>
        <w:t>数字化审图。</w:t>
      </w:r>
      <w:r>
        <w:rPr>
          <w:rFonts w:hint="eastAsia" w:ascii="仿宋" w:hAnsi="仿宋" w:eastAsia="仿宋"/>
          <w:color w:val="000000" w:themeColor="text1"/>
          <w:sz w:val="32"/>
          <w:szCs w:val="32"/>
          <w14:textFill>
            <w14:solidFill>
              <w14:schemeClr w14:val="tx1"/>
            </w14:solidFill>
          </w14:textFill>
        </w:rPr>
        <w:t>继续完善施工图数字化审查系统，各勘察设计单位要加快与审图机构数字化审查系统的对接，落实CA认证电子签章问题，除有保密要求的建设项目外，所有项目全部实</w:t>
      </w:r>
      <w:r>
        <w:rPr>
          <w:rFonts w:hint="eastAsia" w:ascii="仿宋" w:hAnsi="仿宋" w:eastAsia="仿宋"/>
          <w:color w:val="000000" w:themeColor="text1"/>
          <w:sz w:val="32"/>
          <w:szCs w:val="32"/>
          <w:lang w:eastAsia="zh-CN"/>
          <w14:textFill>
            <w14:solidFill>
              <w14:schemeClr w14:val="tx1"/>
            </w14:solidFill>
          </w14:textFill>
        </w:rPr>
        <w:t>行</w:t>
      </w:r>
      <w:r>
        <w:rPr>
          <w:rFonts w:hint="eastAsia" w:ascii="仿宋" w:hAnsi="仿宋" w:eastAsia="仿宋"/>
          <w:color w:val="000000" w:themeColor="text1"/>
          <w:sz w:val="32"/>
          <w:szCs w:val="32"/>
          <w14:textFill>
            <w14:solidFill>
              <w14:schemeClr w14:val="tx1"/>
            </w14:solidFill>
          </w14:textFill>
        </w:rPr>
        <w:t>数字化报审和图审。要按照“一个平台，多重支撑，一个结果，多方共享”的思路，充分整合建设单位、勘察设计单位、审查机构和行政主管部门的信息资源，实现一窗受理、合一交付，实现建设单位“零跑腿”。图审机构要将审图阶段信息实时更新，各级住建管理部门全程实时监管，提高施工图审查时效和审查质量。</w:t>
      </w:r>
    </w:p>
    <w:p>
      <w:pPr>
        <w:ind w:firstLine="64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四、加强勘察设计监督管理</w:t>
      </w:r>
    </w:p>
    <w:p>
      <w:pPr>
        <w:ind w:firstLine="640"/>
        <w:rPr>
          <w:rFonts w:ascii="仿宋" w:hAnsi="仿宋" w:eastAsia="仿宋" w:cs="仿宋"/>
          <w:color w:val="000000" w:themeColor="text1"/>
          <w:sz w:val="32"/>
          <w:szCs w:val="32"/>
          <w14:textFill>
            <w14:solidFill>
              <w14:schemeClr w14:val="tx1"/>
            </w14:solidFill>
          </w14:textFill>
        </w:rPr>
      </w:pPr>
      <w:r>
        <w:rPr>
          <w:rFonts w:hint="eastAsia" w:ascii="华文楷体" w:hAnsi="华文楷体" w:eastAsia="华文楷体" w:cs="华文楷体"/>
          <w:color w:val="000000" w:themeColor="text1"/>
          <w:sz w:val="32"/>
          <w:szCs w:val="32"/>
          <w14:textFill>
            <w14:solidFill>
              <w14:schemeClr w14:val="tx1"/>
            </w14:solidFill>
          </w14:textFill>
        </w:rPr>
        <w:t>（一）加强事中事后和告知承诺制监管。</w:t>
      </w:r>
      <w:r>
        <w:rPr>
          <w:rFonts w:hint="eastAsia" w:ascii="仿宋" w:hAnsi="仿宋" w:eastAsia="仿宋" w:cs="仿宋"/>
          <w:color w:val="000000" w:themeColor="text1"/>
          <w:sz w:val="32"/>
          <w:szCs w:val="32"/>
          <w14:textFill>
            <w14:solidFill>
              <w14:schemeClr w14:val="tx1"/>
            </w14:solidFill>
          </w14:textFill>
        </w:rPr>
        <w:t>对于需要办理施工图设计文件审查的建设项目，在项目基础施工前应取得施工图设计文件审查合格书。未取得施工图设计文件审查合格书进行基础施工的，住建管理部门或综合执法部门责令停工整改，并按有关规定进行处罚。该项目的建设单位以后不再适用施工图和勘察设计质量安全承诺制以及缩减施工图审查范围等政策。</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对于取消施工图设计文件审查的建设项目，按照属地原则，由各级住建管理部门委托施工图审查机构在基础开工前进行100%抽查。抽查工作由住建管理部门委托</w:t>
      </w:r>
      <w:r>
        <w:rPr>
          <w:rFonts w:hint="eastAsia" w:ascii="仿宋" w:hAnsi="仿宋" w:eastAsia="仿宋" w:cs="仿宋"/>
          <w:color w:val="000000" w:themeColor="text1"/>
          <w:sz w:val="32"/>
          <w:szCs w:val="32"/>
          <w:lang w:eastAsia="zh-CN"/>
          <w14:textFill>
            <w14:solidFill>
              <w14:schemeClr w14:val="tx1"/>
            </w14:solidFill>
          </w14:textFill>
        </w:rPr>
        <w:t>经</w:t>
      </w:r>
      <w:r>
        <w:rPr>
          <w:rFonts w:hint="eastAsia" w:ascii="仿宋" w:hAnsi="仿宋" w:eastAsia="仿宋" w:cs="仿宋"/>
          <w:color w:val="000000" w:themeColor="text1"/>
          <w:sz w:val="32"/>
          <w:szCs w:val="32"/>
          <w14:textFill>
            <w14:solidFill>
              <w14:schemeClr w14:val="tx1"/>
            </w14:solidFill>
          </w14:textFill>
        </w:rPr>
        <w:t>政府购买确定的施工图审查机构实施。对</w:t>
      </w:r>
      <w:r>
        <w:rPr>
          <w:rFonts w:hint="eastAsia" w:ascii="仿宋" w:hAnsi="仿宋" w:eastAsia="仿宋" w:cs="仿宋"/>
          <w:sz w:val="32"/>
          <w:szCs w:val="32"/>
        </w:rPr>
        <w:t>抽查合格的项目，建设单位</w:t>
      </w:r>
      <w:r>
        <w:rPr>
          <w:rFonts w:hint="eastAsia" w:ascii="仿宋" w:hAnsi="仿宋" w:eastAsia="仿宋" w:cs="仿宋"/>
          <w:color w:val="000000" w:themeColor="text1"/>
          <w:sz w:val="32"/>
          <w:szCs w:val="32"/>
          <w14:textFill>
            <w14:solidFill>
              <w14:schemeClr w14:val="tx1"/>
            </w14:solidFill>
          </w14:textFill>
        </w:rPr>
        <w:t>在抽查合后3个工作日内提交施工许可容缺材料。抽查不合格的项目，住建管理部门责令停工整改，整改合格后3个工作日内提交施工许可容缺材料。对抽查的施工图设计文件中存在严重影响地基基础和主体结构、消防和人防工程防护标准安全性的及其它违反工程建设强制性标准的问题，住建管理部门将依法监督勘察设计单位及时整改，并依法对勘察设计单位进行信用扣分和处罚，该勘察设计企业以后不再适用勘察设计质量安全承诺制和缩减施工图审查范围等政策。</w:t>
      </w:r>
    </w:p>
    <w:p>
      <w:pPr>
        <w:ind w:firstLine="640"/>
        <w:rPr>
          <w:rFonts w:ascii="仿宋" w:hAnsi="仿宋" w:eastAsia="仿宋" w:cs="仿宋"/>
          <w:color w:val="000000" w:themeColor="text1"/>
          <w:sz w:val="32"/>
          <w:szCs w:val="32"/>
          <w14:textFill>
            <w14:solidFill>
              <w14:schemeClr w14:val="tx1"/>
            </w14:solidFill>
          </w14:textFill>
        </w:rPr>
      </w:pPr>
      <w:r>
        <w:rPr>
          <w:rFonts w:hint="eastAsia" w:ascii="华文楷体" w:hAnsi="华文楷体" w:eastAsia="华文楷体" w:cs="华文楷体"/>
          <w:color w:val="000000" w:themeColor="text1"/>
          <w:sz w:val="32"/>
          <w:szCs w:val="32"/>
          <w14:textFill>
            <w14:solidFill>
              <w14:schemeClr w14:val="tx1"/>
            </w14:solidFill>
          </w14:textFill>
        </w:rPr>
        <w:t>（二）严格审查范围和审查标准。</w:t>
      </w:r>
      <w:r>
        <w:rPr>
          <w:rFonts w:hint="eastAsia" w:ascii="仿宋" w:hAnsi="仿宋" w:eastAsia="仿宋" w:cs="仿宋"/>
          <w:color w:val="000000" w:themeColor="text1"/>
          <w:sz w:val="32"/>
          <w:szCs w:val="32"/>
          <w14:textFill>
            <w14:solidFill>
              <w14:schemeClr w14:val="tx1"/>
            </w14:solidFill>
          </w14:textFill>
        </w:rPr>
        <w:t>取消施工图审查的小型建设项目，</w:t>
      </w:r>
      <w:r>
        <w:rPr>
          <w:rFonts w:hint="eastAsia" w:ascii="仿宋" w:hAnsi="仿宋" w:eastAsia="仿宋" w:cs="仿宋"/>
          <w:sz w:val="32"/>
          <w:szCs w:val="32"/>
        </w:rPr>
        <w:t>要按照</w:t>
      </w:r>
      <w:r>
        <w:rPr>
          <w:rFonts w:hint="eastAsia" w:ascii="仿宋" w:hAnsi="仿宋" w:eastAsia="仿宋" w:cs="仿宋"/>
          <w:color w:val="000000" w:themeColor="text1"/>
          <w:sz w:val="32"/>
          <w:szCs w:val="32"/>
          <w14:textFill>
            <w14:solidFill>
              <w14:schemeClr w14:val="tx1"/>
            </w14:solidFill>
          </w14:textFill>
        </w:rPr>
        <w:t>《工程设计资质标准》界定的小型建筑工程和小型市政工程项目及对应的勘察项目（见附件4），不得将发改立项和规划审批的工程化整为零，规避审查。施工图审查机构要严格按照有关《房屋建筑和市政基础设施工程施工图设计文件审查管理办法》（住建部令第13号）以及国家和省发布的审查要点对勘察设计文件进行审查，依法承担审查责任。</w:t>
      </w:r>
    </w:p>
    <w:p>
      <w:pPr>
        <w:ind w:firstLine="640" w:firstLineChars="200"/>
        <w:jc w:val="left"/>
        <w:rPr>
          <w:rFonts w:ascii="仿宋" w:hAnsi="仿宋" w:eastAsia="仿宋" w:cs="仿宋"/>
          <w:sz w:val="32"/>
          <w:szCs w:val="32"/>
        </w:rPr>
      </w:pPr>
      <w:r>
        <w:rPr>
          <w:rFonts w:hint="eastAsia" w:ascii="楷体" w:hAnsi="楷体" w:eastAsia="楷体" w:cs="仿宋"/>
          <w:sz w:val="32"/>
          <w:szCs w:val="32"/>
        </w:rPr>
        <w:t>（三）落实建设单位首要责任。</w:t>
      </w:r>
      <w:r>
        <w:rPr>
          <w:rFonts w:hint="eastAsia" w:ascii="仿宋" w:hAnsi="仿宋" w:eastAsia="仿宋" w:cs="仿宋"/>
          <w:sz w:val="32"/>
          <w:szCs w:val="32"/>
        </w:rPr>
        <w:t>建设单位要按照《东营市勘察设计质量安全承诺书》、</w:t>
      </w:r>
      <w:r>
        <w:rPr>
          <w:rFonts w:ascii="仿宋" w:hAnsi="仿宋" w:eastAsia="仿宋" w:cs="仿宋"/>
          <w:sz w:val="32"/>
          <w:szCs w:val="32"/>
        </w:rPr>
        <w:t>《</w:t>
      </w:r>
      <w:r>
        <w:rPr>
          <w:rFonts w:hint="eastAsia" w:ascii="仿宋" w:hAnsi="仿宋" w:eastAsia="仿宋" w:cs="仿宋"/>
          <w:sz w:val="32"/>
          <w:szCs w:val="32"/>
        </w:rPr>
        <w:t>建设项目容缺施工图审查合格书办理施工许可承诺书》内容，严格履行建设手续，切实落实项目法人责任制，加强建设工程勘察设计质量管理。不得明示或暗示勘察设计单位违反法律、法规或者建筑工程质量标准、安全标准和节能要求，不得任意压缩合理勘察设计工期。建设单位法定代表人和直接责任人按照各自职责，依法承担有关责任。</w:t>
      </w:r>
    </w:p>
    <w:p>
      <w:pPr>
        <w:ind w:firstLine="640"/>
        <w:rPr>
          <w:rFonts w:ascii="仿宋" w:hAnsi="仿宋" w:eastAsia="仿宋" w:cs="仿宋"/>
          <w:color w:val="000000" w:themeColor="text1"/>
          <w:sz w:val="32"/>
          <w:szCs w:val="32"/>
          <w14:textFill>
            <w14:solidFill>
              <w14:schemeClr w14:val="tx1"/>
            </w14:solidFill>
          </w14:textFill>
        </w:rPr>
      </w:pPr>
      <w:r>
        <w:rPr>
          <w:rFonts w:hint="eastAsia" w:ascii="华文楷体" w:hAnsi="华文楷体" w:eastAsia="华文楷体" w:cs="华文楷体"/>
          <w:color w:val="000000" w:themeColor="text1"/>
          <w:sz w:val="32"/>
          <w:szCs w:val="32"/>
          <w14:textFill>
            <w14:solidFill>
              <w14:schemeClr w14:val="tx1"/>
            </w14:solidFill>
          </w14:textFill>
        </w:rPr>
        <w:t>（四）强化勘察设计主体责任。</w:t>
      </w:r>
      <w:r>
        <w:rPr>
          <w:rFonts w:hint="eastAsia" w:ascii="仿宋" w:hAnsi="仿宋" w:eastAsia="仿宋" w:cs="仿宋"/>
          <w:color w:val="000000" w:themeColor="text1"/>
          <w:sz w:val="32"/>
          <w:szCs w:val="32"/>
          <w14:textFill>
            <w14:solidFill>
              <w14:schemeClr w14:val="tx1"/>
            </w14:solidFill>
          </w14:textFill>
        </w:rPr>
        <w:t>勘察设计企业要建立健全质量管控体系，严格落实项目负责制和三级责任人审核签字制度。勘察设计技术文件编制要严格按照建设项目负责人和各专业负责人要求配备技术人员，岩土工程勘察的项目负责人应由注册土木（岩土）工程师担任；设计项目负责人应当由取得相应工程建设类注册执业资格并具备设计质量管理能力的人员担任。期间变更有关责任人的，须严格按相关规定办理变更手续。勘察设计单位及其法定代表人和设计人员，对其签字盖章的勘察设计文件，依法承担终身责任。</w:t>
      </w:r>
    </w:p>
    <w:p>
      <w:pPr>
        <w:ind w:firstLine="640"/>
        <w:rPr>
          <w:rFonts w:ascii="仿宋" w:hAnsi="仿宋" w:eastAsia="仿宋" w:cs="仿宋"/>
          <w:sz w:val="32"/>
          <w:szCs w:val="32"/>
        </w:rPr>
      </w:pPr>
      <w:r>
        <w:rPr>
          <w:rFonts w:hint="eastAsia" w:ascii="华文楷体" w:hAnsi="华文楷体" w:eastAsia="华文楷体" w:cs="华文楷体"/>
          <w:color w:val="000000" w:themeColor="text1"/>
          <w:sz w:val="32"/>
          <w:szCs w:val="32"/>
          <w14:textFill>
            <w14:solidFill>
              <w14:schemeClr w14:val="tx1"/>
            </w14:solidFill>
          </w14:textFill>
        </w:rPr>
        <w:t>（五）</w:t>
      </w:r>
      <w:r>
        <w:rPr>
          <w:rFonts w:hint="eastAsia" w:ascii="华文楷体" w:hAnsi="华文楷体" w:eastAsia="华文楷体" w:cs="华文楷体"/>
          <w:sz w:val="32"/>
          <w:szCs w:val="32"/>
        </w:rPr>
        <w:t>规范勘察设计文件时效性。</w:t>
      </w:r>
      <w:r>
        <w:rPr>
          <w:rFonts w:hint="eastAsia" w:ascii="仿宋" w:hAnsi="仿宋" w:eastAsia="仿宋" w:cs="仿宋"/>
          <w:sz w:val="32"/>
          <w:szCs w:val="32"/>
        </w:rPr>
        <w:t>已交付使用的施工图设计文件，建设单位应在一年内开工建设，逾期未开工建设的，因国家政策和规范发生变化的，应当送原勘察设计单位和施工图审查机构重新复核。由原勘察设计单位进行修改，委托其他具有相应资质的勘察设计单位和相关责任人修改的，承担修改的单位或责任人对修改后勘察设计文件负责。影响公共安全、公共利益及遇国家重大政策调整时应重新设计，属于勘察设计文件变更的，按变更程序执行。</w:t>
      </w:r>
    </w:p>
    <w:p>
      <w:pPr>
        <w:ind w:firstLine="640"/>
        <w:rPr>
          <w:rFonts w:ascii="仿宋" w:hAnsi="仿宋" w:eastAsia="仿宋" w:cs="仿宋"/>
          <w:color w:val="000000" w:themeColor="text1"/>
          <w:sz w:val="32"/>
          <w:szCs w:val="32"/>
          <w14:textFill>
            <w14:solidFill>
              <w14:schemeClr w14:val="tx1"/>
            </w14:solidFill>
          </w14:textFill>
        </w:rPr>
      </w:pPr>
      <w:r>
        <w:rPr>
          <w:rFonts w:hint="eastAsia" w:ascii="华文楷体" w:hAnsi="华文楷体" w:eastAsia="华文楷体" w:cs="华文楷体"/>
          <w:color w:val="000000" w:themeColor="text1"/>
          <w:sz w:val="32"/>
          <w:szCs w:val="32"/>
          <w14:textFill>
            <w14:solidFill>
              <w14:schemeClr w14:val="tx1"/>
            </w14:solidFill>
          </w14:textFill>
        </w:rPr>
        <w:t>（六）加强工程建设全过程闭合式质量管控。</w:t>
      </w:r>
      <w:r>
        <w:rPr>
          <w:rFonts w:hint="eastAsia" w:ascii="仿宋" w:hAnsi="仿宋" w:eastAsia="仿宋" w:cs="仿宋"/>
          <w:color w:val="000000" w:themeColor="text1"/>
          <w:sz w:val="32"/>
          <w:szCs w:val="32"/>
          <w14:textFill>
            <w14:solidFill>
              <w14:schemeClr w14:val="tx1"/>
            </w14:solidFill>
          </w14:textFill>
        </w:rPr>
        <w:t>行政审批、建设、招标投标、勘察设计、审图、施工、监理、质监、安监等各个环节的责任部门单位要严格落实主体责任，加强信息共享，确保工程审批流程顺畅，效能提高；强化勘察设计主体责任监管，严格核验勘察设计企业和从业人员资质资格，加强监督检查，确保建设工程质量安全。对建设单位、勘察设计企业等存在违法违规行为、不履行质量安全承诺，造成安全事故、重大影响、投诉等不良行为，对涉事企业和从业人员依法依规予以处理，在诚信考核中记录不良行为。</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本意见自202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年4月1起实施，</w:t>
      </w:r>
      <w:r>
        <w:rPr>
          <w:rFonts w:hint="eastAsia" w:ascii="仿宋" w:hAnsi="仿宋" w:eastAsia="仿宋" w:cs="仿宋"/>
          <w:sz w:val="32"/>
          <w:szCs w:val="32"/>
        </w:rPr>
        <w:t>有效期至202</w:t>
      </w:r>
      <w:r>
        <w:rPr>
          <w:rFonts w:hint="eastAsia" w:ascii="仿宋" w:hAnsi="仿宋" w:eastAsia="仿宋" w:cs="仿宋"/>
          <w:sz w:val="32"/>
          <w:szCs w:val="32"/>
          <w:lang w:val="en-US" w:eastAsia="zh-CN"/>
        </w:rPr>
        <w:t>4</w:t>
      </w:r>
      <w:r>
        <w:rPr>
          <w:rFonts w:hint="eastAsia" w:ascii="仿宋" w:hAnsi="仿宋" w:eastAsia="仿宋" w:cs="仿宋"/>
          <w:sz w:val="32"/>
          <w:szCs w:val="32"/>
        </w:rPr>
        <w:t>年3月31日。</w:t>
      </w:r>
    </w:p>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附件：1.东营市勘察设计质量安全承诺书</w:t>
      </w:r>
    </w:p>
    <w:p>
      <w:pPr>
        <w:spacing w:line="520" w:lineRule="exact"/>
        <w:ind w:left="2560" w:hanging="2560" w:hangingChars="8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2.施工图审查受理凭证  </w:t>
      </w:r>
    </w:p>
    <w:p>
      <w:pPr>
        <w:spacing w:line="520" w:lineRule="exact"/>
        <w:ind w:left="2560" w:hanging="2560" w:hangingChars="8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3.建设项目容缺施工图审查合格书办理施工许可承诺书       </w:t>
      </w:r>
    </w:p>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4-1.市政行业建设项目设计规模划分表</w:t>
      </w: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4-2.建筑工程项目设计规模划分表</w:t>
      </w:r>
    </w:p>
    <w:p>
      <w:pPr>
        <w:spacing w:line="520" w:lineRule="exact"/>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东营市住房和城乡建设管理局         东营市财政局</w:t>
      </w: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东营市行政审批服务局</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月   日</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w:t>
      </w:r>
    </w:p>
    <w:p>
      <w:pPr>
        <w:spacing w:line="520" w:lineRule="exact"/>
        <w:jc w:val="center"/>
        <w:rPr>
          <w:rFonts w:asciiTheme="majorEastAsia" w:hAnsiTheme="majorEastAsia" w:eastAsiaTheme="majorEastAsia" w:cstheme="majorEastAsia"/>
          <w:color w:val="000000" w:themeColor="text1"/>
          <w:sz w:val="36"/>
          <w:szCs w:val="36"/>
          <w14:textFill>
            <w14:solidFill>
              <w14:schemeClr w14:val="tx1"/>
            </w14:solidFill>
          </w14:textFill>
        </w:rPr>
      </w:pPr>
      <w:r>
        <w:rPr>
          <w:rFonts w:hint="eastAsia" w:asciiTheme="majorEastAsia" w:hAnsiTheme="majorEastAsia" w:eastAsiaTheme="majorEastAsia" w:cstheme="majorEastAsia"/>
          <w:color w:val="000000" w:themeColor="text1"/>
          <w:sz w:val="36"/>
          <w:szCs w:val="36"/>
          <w14:textFill>
            <w14:solidFill>
              <w14:schemeClr w14:val="tx1"/>
            </w14:solidFill>
          </w14:textFill>
        </w:rPr>
        <w:t>东营市勘察设计质量安全承诺书</w:t>
      </w:r>
    </w:p>
    <w:p>
      <w:pPr>
        <w:spacing w:line="520" w:lineRule="exact"/>
        <w:rPr>
          <w:rFonts w:ascii="仿宋" w:hAnsi="仿宋" w:eastAsia="仿宋" w:cs="仿宋"/>
          <w:color w:val="000000" w:themeColor="text1"/>
          <w:sz w:val="32"/>
          <w:szCs w:val="32"/>
          <w14:textFill>
            <w14:solidFill>
              <w14:schemeClr w14:val="tx1"/>
            </w14:solidFill>
          </w14:textFill>
        </w:rPr>
      </w:pP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____________________（行政审批部门）：</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我单位建设的_________________项目，建设位置在______________,建筑面积_______平方米，使用性质_________,建筑高度_____米，建筑层数______。（可附表）</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我单位对以下内容进行承诺：</w:t>
      </w:r>
    </w:p>
    <w:p>
      <w:pPr>
        <w:spacing w:line="52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该项目的施工图设计文件与规划行政主管部门批复的规划要求一致。若工程规划许可证记载的内容与本次送审的施工图设计文件存在项目名称、建设位置、建筑面积、使用性质、建筑高度、建筑层数、建筑立面等不一致的情况，由本单位承担一切法律责任。</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勘察设计文件符合建设工程法律法规标准、规范、规定；地基基础、主体结构、节能、消防、绿建等均符合现行相关法律法规和标准、规范、规定；勘察设计企业和注册执业人员均符合相关要求并按规定在施工图设计文件上加盖相应的资质资格章和签字。承诺不擅自改变该工程的使用性质和用途，在工程生命周期内与勘察设计企业共同承担因该施工图设计文件原因造成的安全、质量、信访等一切法律责任。</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三、我单位承诺相关施工图设计文件经住建管理部门委托的施工图审查机构抽查合格后，于3个工作日内提交施工许可容缺的材料。</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四、需要进行消防设计审查的建设项目按规定办理建设工程消防设计审查手续。</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五、如果违反以上承诺，自愿接受行政主管部门的行政处罚，并进行整改，由此造成的一切法律责任和损失由我单位承担。</w:t>
      </w:r>
    </w:p>
    <w:tbl>
      <w:tblPr>
        <w:tblStyle w:val="7"/>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553"/>
        <w:gridCol w:w="460"/>
        <w:gridCol w:w="1185"/>
        <w:gridCol w:w="1647"/>
        <w:gridCol w:w="98"/>
        <w:gridCol w:w="148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8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序号</w:t>
            </w:r>
          </w:p>
        </w:tc>
        <w:tc>
          <w:tcPr>
            <w:tcW w:w="1553"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单体名称</w:t>
            </w:r>
          </w:p>
        </w:tc>
        <w:tc>
          <w:tcPr>
            <w:tcW w:w="1645"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建筑面积</w:t>
            </w:r>
          </w:p>
        </w:tc>
        <w:tc>
          <w:tcPr>
            <w:tcW w:w="1647"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使用性质</w:t>
            </w:r>
          </w:p>
        </w:tc>
        <w:tc>
          <w:tcPr>
            <w:tcW w:w="1582"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建筑高度</w:t>
            </w:r>
          </w:p>
        </w:tc>
        <w:tc>
          <w:tcPr>
            <w:tcW w:w="154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8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1553"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45"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47"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82"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4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8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1553"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45"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47"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82"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4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198" w:type="dxa"/>
            <w:gridSpan w:val="3"/>
            <w:tcBorders>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本承诺书自签字盖章</w:t>
            </w:r>
            <w:r>
              <w:rPr>
                <w:rFonts w:hint="eastAsia" w:ascii="仿宋" w:hAnsi="仿宋" w:eastAsia="仿宋" w:cs="仿宋"/>
                <w:color w:val="000000" w:themeColor="text1"/>
                <w:sz w:val="28"/>
                <w:szCs w:val="28"/>
                <w14:textFill>
                  <w14:solidFill>
                    <w14:schemeClr w14:val="tx1"/>
                  </w14:solidFill>
                </w14:textFill>
              </w:rPr>
              <w:t>建设单位：（盖章）</w:t>
            </w:r>
          </w:p>
        </w:tc>
        <w:tc>
          <w:tcPr>
            <w:tcW w:w="2930" w:type="dxa"/>
            <w:gridSpan w:val="3"/>
            <w:tcBorders>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之日起生效。</w:t>
            </w: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勘察单位：（盖章）</w:t>
            </w:r>
          </w:p>
        </w:tc>
        <w:tc>
          <w:tcPr>
            <w:tcW w:w="3033" w:type="dxa"/>
            <w:gridSpan w:val="2"/>
            <w:tcBorders>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设计单位：（盖章）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单位地址：</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单位地址：</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项目负责人（签字）：</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项目负责人（签字）：</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邮政编码：</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邮政编码：</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经办人：（签字）</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经办人：（签字）</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联系方式：</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联系方式：</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161" w:type="dxa"/>
            <w:gridSpan w:val="8"/>
            <w:tcBorders>
              <w:top w:val="nil"/>
              <w:left w:val="nil"/>
              <w:bottom w:val="nil"/>
              <w:right w:val="nil"/>
            </w:tcBorders>
          </w:tcPr>
          <w:p>
            <w:pPr>
              <w:spacing w:line="5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（注：承诺书正反面打印。）</w:t>
            </w:r>
          </w:p>
          <w:p>
            <w:pPr>
              <w:jc w:val="left"/>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p>
            <w:pPr>
              <w:ind w:firstLine="5760" w:firstLineChars="1800"/>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p>
          <w:p>
            <w:pPr>
              <w:rPr>
                <w:rFonts w:cs="仿宋" w:asciiTheme="majorEastAsia" w:hAnsiTheme="majorEastAsia" w:eastAsiaTheme="majorEastAsia"/>
                <w:color w:val="000000" w:themeColor="text1"/>
                <w:sz w:val="44"/>
                <w:szCs w:val="44"/>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附件2</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编号：</w:t>
            </w:r>
          </w:p>
          <w:p>
            <w:pPr>
              <w:spacing w:line="520" w:lineRule="exact"/>
              <w:jc w:val="center"/>
              <w:rPr>
                <w:rFonts w:cs="仿宋" w:asciiTheme="majorEastAsia" w:hAnsiTheme="majorEastAsia" w:eastAsiaTheme="majorEastAsia"/>
                <w:color w:val="000000" w:themeColor="text1"/>
                <w:sz w:val="36"/>
                <w:szCs w:val="36"/>
                <w14:textFill>
                  <w14:solidFill>
                    <w14:schemeClr w14:val="tx1"/>
                  </w14:solidFill>
                </w14:textFill>
              </w:rPr>
            </w:pPr>
            <w:r>
              <w:rPr>
                <w:rFonts w:hint="eastAsia" w:cs="仿宋" w:asciiTheme="majorEastAsia" w:hAnsiTheme="majorEastAsia" w:eastAsiaTheme="majorEastAsia"/>
                <w:color w:val="000000" w:themeColor="text1"/>
                <w:sz w:val="36"/>
                <w:szCs w:val="36"/>
                <w14:textFill>
                  <w14:solidFill>
                    <w14:schemeClr w14:val="tx1"/>
                  </w14:solidFill>
                </w14:textFill>
              </w:rPr>
              <w:t>施工图审查受理凭证</w:t>
            </w: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_______________（建设单位）：</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你单位_______年___月___日申报审查的_____________项目，我单位已受理。项目设计单位_______________，建筑面积______（工程造价_____）（可附表）。按照施工图审查告知承诺制有关要求，经项目属地建设行政主管部门同意，可持该凭证容缺办理相关审批手续。我单位将于_____个工作日内完成施工图技术审查，请督促设计单位于_____个工作日内按审查意见完成设计文件修改回复，及时办理施工图审查手续。</w:t>
            </w:r>
          </w:p>
          <w:tbl>
            <w:tblPr>
              <w:tblStyle w:val="7"/>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1551"/>
              <w:gridCol w:w="1620"/>
              <w:gridCol w:w="1602"/>
              <w:gridCol w:w="1569"/>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序号</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单体名称</w:t>
                  </w: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建筑面积</w:t>
                  </w: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使用性质</w:t>
                  </w: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建筑高度</w:t>
                  </w: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bl>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建设单位经办人：        联系电话：</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审查机构经办人：        联系电话：</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施工图审查机构（印章）</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编号：</w:t>
            </w:r>
          </w:p>
          <w:p>
            <w:pPr>
              <w:spacing w:line="520" w:lineRule="exact"/>
              <w:jc w:val="center"/>
              <w:rPr>
                <w:rFonts w:cs="仿宋" w:asciiTheme="majorEastAsia" w:hAnsiTheme="majorEastAsia" w:eastAsiaTheme="majorEastAsia"/>
                <w:color w:val="000000" w:themeColor="text1"/>
                <w:sz w:val="36"/>
                <w:szCs w:val="36"/>
                <w14:textFill>
                  <w14:solidFill>
                    <w14:schemeClr w14:val="tx1"/>
                  </w14:solidFill>
                </w14:textFill>
              </w:rPr>
            </w:pPr>
            <w:r>
              <w:rPr>
                <w:rFonts w:hint="eastAsia" w:cs="仿宋" w:asciiTheme="majorEastAsia" w:hAnsiTheme="majorEastAsia" w:eastAsiaTheme="majorEastAsia"/>
                <w:color w:val="000000" w:themeColor="text1"/>
                <w:sz w:val="36"/>
                <w:szCs w:val="36"/>
                <w14:textFill>
                  <w14:solidFill>
                    <w14:schemeClr w14:val="tx1"/>
                  </w14:solidFill>
                </w14:textFill>
              </w:rPr>
              <w:t>施工图审查受理凭证（存根联）</w:t>
            </w: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_______________（建设单位）：</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你单位_______年___月___日申报审查的_____________项目，我单位已受理。项目设计单位_______________，建筑面积______（工程造价_____）。</w:t>
            </w:r>
          </w:p>
          <w:p>
            <w:pPr>
              <w:spacing w:line="520" w:lineRule="exact"/>
              <w:jc w:val="left"/>
              <w:rPr>
                <w:rFonts w:ascii="仿宋" w:hAnsi="仿宋" w:eastAsia="仿宋" w:cs="仿宋"/>
                <w:color w:val="000000" w:themeColor="text1"/>
                <w:sz w:val="32"/>
                <w:szCs w:val="32"/>
                <w14:textFill>
                  <w14:solidFill>
                    <w14:schemeClr w14:val="tx1"/>
                  </w14:solidFill>
                </w14:textFill>
              </w:rPr>
            </w:pPr>
          </w:p>
          <w:tbl>
            <w:tblPr>
              <w:tblStyle w:val="7"/>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1551"/>
              <w:gridCol w:w="1620"/>
              <w:gridCol w:w="1602"/>
              <w:gridCol w:w="1569"/>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序号</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单体名称</w:t>
                  </w: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建筑面积</w:t>
                  </w: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使用性质</w:t>
                  </w: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建筑高度</w:t>
                  </w: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bl>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建设单位经办人（签字）：        联系电话：</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施工图审查机构（印章）</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cs="仿宋" w:asciiTheme="majorEastAsia" w:hAnsiTheme="majorEastAsia" w:eastAsiaTheme="majorEastAsia"/>
                <w:color w:val="000000" w:themeColor="text1"/>
                <w:sz w:val="36"/>
                <w:szCs w:val="36"/>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附件3</w:t>
            </w:r>
          </w:p>
          <w:p>
            <w:pPr>
              <w:jc w:val="center"/>
              <w:rPr>
                <w:rFonts w:cs="仿宋" w:asciiTheme="majorEastAsia" w:hAnsiTheme="majorEastAsia" w:eastAsiaTheme="majorEastAsia"/>
                <w:color w:val="000000" w:themeColor="text1"/>
                <w:sz w:val="36"/>
                <w:szCs w:val="36"/>
                <w14:textFill>
                  <w14:solidFill>
                    <w14:schemeClr w14:val="tx1"/>
                  </w14:solidFill>
                </w14:textFill>
              </w:rPr>
            </w:pPr>
            <w:r>
              <w:rPr>
                <w:rFonts w:hint="eastAsia" w:cs="仿宋" w:asciiTheme="majorEastAsia" w:hAnsiTheme="majorEastAsia" w:eastAsiaTheme="majorEastAsia"/>
                <w:color w:val="000000" w:themeColor="text1"/>
                <w:sz w:val="36"/>
                <w:szCs w:val="36"/>
                <w14:textFill>
                  <w14:solidFill>
                    <w14:schemeClr w14:val="tx1"/>
                  </w14:solidFill>
                </w14:textFill>
              </w:rPr>
              <w:t>建设项目容缺施工图审查合格书办理施工许可承诺书</w:t>
            </w:r>
          </w:p>
          <w:p>
            <w:pPr>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_______________（行政审批部门）：</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单位建设的_______________（项目名称），已于____年___月___日报至_______________（施工图审查机构），并取得了审图机构出具的受理凭证。现申请容缺施工图审查合格书办理施工许可审批手续。我单位对以下内容进行承诺：</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一、所报审的施工图设计文件符合建设工程法律法规及标准、规范、规定。地基基础、主体结构、节能、消防、绿建等均符合现行相关法律法规和标准、规范、规定；</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严格按照审查意见和要求时限进行施工图设计文件修改、回复。凡送审图纸需修改复审的项目，收到施工图审查机构《建设工程施工图设计文件审查意见》后，及时修改完善并报复审，修改至报送回复时间不超过20个工作日。</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三、在取得施工图设计文件审查合格书前不进行基础开工，取得施工图审查合格书后3个工作日内提交施工许可容缺的材料。</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四、需要进行消防设计审查的建设项目按规定办理建设工程消防设计审查手续。</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五、如果违反以上承诺，自愿接受行政主管部门的行政处罚，并进行整改，由此造成的一切法律责任和损失由我单位承担。</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本承诺书自签字盖章之日起生效。</w:t>
            </w: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p>
          <w:tbl>
            <w:tblPr>
              <w:tblStyle w:val="7"/>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843" w:type="dxa"/>
                  <w:tcBorders>
                    <w:top w:val="nil"/>
                    <w:left w:val="nil"/>
                    <w:bottom w:val="nil"/>
                    <w:right w:val="nil"/>
                  </w:tcBorders>
                </w:tcPr>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经办人：（签字）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843" w:type="dxa"/>
                  <w:tcBorders>
                    <w:top w:val="nil"/>
                    <w:left w:val="nil"/>
                    <w:bottom w:val="nil"/>
                    <w:right w:val="nil"/>
                  </w:tcBorders>
                </w:tcPr>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建设单位：（盖章）</w:t>
                  </w:r>
                </w:p>
              </w:tc>
            </w:tr>
          </w:tbl>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tc>
      </w:tr>
    </w:tbl>
    <w:p>
      <w:pPr>
        <w:spacing w:line="520" w:lineRule="exact"/>
        <w:rPr>
          <w:rFonts w:ascii="仿宋" w:hAnsi="仿宋" w:eastAsia="仿宋" w:cs="仿宋"/>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附件4-1</w:t>
      </w:r>
    </w:p>
    <w:tbl>
      <w:tblPr>
        <w:tblStyle w:val="6"/>
        <w:tblW w:w="13920" w:type="dxa"/>
        <w:tblInd w:w="0" w:type="dxa"/>
        <w:tblLayout w:type="autofit"/>
        <w:tblCellMar>
          <w:top w:w="0" w:type="dxa"/>
          <w:left w:w="0" w:type="dxa"/>
          <w:bottom w:w="0" w:type="dxa"/>
          <w:right w:w="0" w:type="dxa"/>
        </w:tblCellMar>
      </w:tblPr>
      <w:tblGrid>
        <w:gridCol w:w="1202"/>
        <w:gridCol w:w="1202"/>
        <w:gridCol w:w="1202"/>
        <w:gridCol w:w="1205"/>
        <w:gridCol w:w="1654"/>
        <w:gridCol w:w="1403"/>
        <w:gridCol w:w="1553"/>
        <w:gridCol w:w="1202"/>
        <w:gridCol w:w="3297"/>
      </w:tblGrid>
      <w:tr>
        <w:tblPrEx>
          <w:tblCellMar>
            <w:top w:w="0" w:type="dxa"/>
            <w:left w:w="0" w:type="dxa"/>
            <w:bottom w:w="0" w:type="dxa"/>
            <w:right w:w="0" w:type="dxa"/>
          </w:tblCellMar>
        </w:tblPrEx>
        <w:trPr>
          <w:trHeight w:val="556" w:hRule="atLeast"/>
        </w:trPr>
        <w:tc>
          <w:tcPr>
            <w:tcW w:w="13920" w:type="dxa"/>
            <w:gridSpan w:val="9"/>
            <w:tcBorders>
              <w:top w:val="nil"/>
              <w:left w:val="nil"/>
              <w:bottom w:val="nil"/>
              <w:right w:val="nil"/>
            </w:tcBorders>
            <w:shd w:val="clear" w:color="auto" w:fill="auto"/>
            <w:tcMar>
              <w:top w:w="15" w:type="dxa"/>
              <w:left w:w="15" w:type="dxa"/>
              <w:right w:w="15" w:type="dxa"/>
            </w:tcMar>
            <w:vAlign w:val="center"/>
          </w:tcPr>
          <w:p>
            <w:pPr>
              <w:spacing w:line="520" w:lineRule="exact"/>
              <w:jc w:val="center"/>
              <w:rPr>
                <w:rFonts w:ascii="宋体" w:hAnsi="宋体" w:cs="宋体"/>
                <w:color w:val="000000" w:themeColor="text1"/>
                <w:sz w:val="22"/>
                <w:szCs w:val="22"/>
                <w14:textFill>
                  <w14:solidFill>
                    <w14:schemeClr w14:val="tx1"/>
                  </w14:solidFill>
                </w14:textFill>
              </w:rPr>
            </w:pPr>
            <w:r>
              <w:rPr>
                <w:rFonts w:hint="eastAsia" w:asciiTheme="majorEastAsia" w:hAnsiTheme="majorEastAsia" w:eastAsiaTheme="majorEastAsia" w:cstheme="majorEastAsia"/>
                <w:color w:val="000000" w:themeColor="text1"/>
                <w:sz w:val="36"/>
                <w:szCs w:val="36"/>
                <w14:textFill>
                  <w14:solidFill>
                    <w14:schemeClr w14:val="tx1"/>
                  </w14:solidFill>
                </w14:textFill>
              </w:rPr>
              <w:t>市政行业建设项目设计规模划分表</w:t>
            </w:r>
          </w:p>
        </w:tc>
      </w:tr>
      <w:tr>
        <w:tblPrEx>
          <w:tblCellMar>
            <w:top w:w="0" w:type="dxa"/>
            <w:left w:w="0" w:type="dxa"/>
            <w:bottom w:w="0" w:type="dxa"/>
            <w:right w:w="0" w:type="dxa"/>
          </w:tblCellMar>
        </w:tblPrEx>
        <w:trPr>
          <w:trHeight w:val="527"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序号</w:t>
            </w:r>
          </w:p>
        </w:tc>
        <w:tc>
          <w:tcPr>
            <w:tcW w:w="36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建设项目</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单位</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大型</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中型</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小型</w:t>
            </w:r>
          </w:p>
        </w:tc>
        <w:tc>
          <w:tcPr>
            <w:tcW w:w="3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trHeight w:val="572" w:hRule="atLeast"/>
        </w:trPr>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给水工程</w:t>
            </w:r>
          </w:p>
        </w:tc>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净水厂</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万立方米/日</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Style w:val="11"/>
                <w:rFonts w:hint="default"/>
                <w:color w:val="000000" w:themeColor="text1"/>
                <w14:textFill>
                  <w14:solidFill>
                    <w14:schemeClr w14:val="tx1"/>
                  </w14:solidFill>
                </w14:textFill>
              </w:rPr>
              <w:t>≥</w:t>
            </w:r>
            <w:r>
              <w:rPr>
                <w:rStyle w:val="12"/>
                <w:rFonts w:hint="default"/>
                <w:color w:val="000000" w:themeColor="text1"/>
                <w14:textFill>
                  <w14:solidFill>
                    <w14:schemeClr w14:val="tx1"/>
                  </w14:solidFill>
                </w14:textFill>
              </w:rPr>
              <w:t>10</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Style w:val="12"/>
                <w:rFonts w:hint="default"/>
                <w:color w:val="000000" w:themeColor="text1"/>
                <w14:textFill>
                  <w14:solidFill>
                    <w14:schemeClr w14:val="tx1"/>
                  </w14:solidFill>
                </w14:textFill>
              </w:rPr>
              <w:t>10～5</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&lt;5</w:t>
            </w:r>
          </w:p>
        </w:tc>
        <w:tc>
          <w:tcPr>
            <w:tcW w:w="3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地表水或地下水取水，如需处理才可供水，按净水厂规模确定；如不需处理，直接取地下水，按泵站规模确定。给水工程专业丙级资质设计任务范围仅限管道工程。给水工程含再生水利用工程</w:t>
            </w:r>
          </w:p>
        </w:tc>
      </w:tr>
      <w:tr>
        <w:tblPrEx>
          <w:tblCellMar>
            <w:top w:w="0" w:type="dxa"/>
            <w:left w:w="0" w:type="dxa"/>
            <w:bottom w:w="0" w:type="dxa"/>
            <w:right w:w="0" w:type="dxa"/>
          </w:tblCellMar>
        </w:tblPrEx>
        <w:trPr>
          <w:trHeight w:val="512"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管网</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泵站</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万立方米/日</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≥20</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20～5</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&lt;5</w:t>
            </w:r>
          </w:p>
        </w:tc>
        <w:tc>
          <w:tcPr>
            <w:tcW w:w="3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66"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管道</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管径（毫米）</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≥1600</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1600～1000</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&lt;1000</w:t>
            </w:r>
          </w:p>
        </w:tc>
        <w:tc>
          <w:tcPr>
            <w:tcW w:w="3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排水工程</w:t>
            </w:r>
          </w:p>
        </w:tc>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处理厂</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万立方米/日</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≥8</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8～4</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&lt;4</w:t>
            </w:r>
          </w:p>
        </w:tc>
        <w:tc>
          <w:tcPr>
            <w:tcW w:w="3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排水工程专业丙级资质设计任务范围仅限管道工程。排水工程含再生水利用工程</w:t>
            </w:r>
          </w:p>
        </w:tc>
      </w:tr>
      <w:tr>
        <w:tblPrEx>
          <w:tblCellMar>
            <w:top w:w="0" w:type="dxa"/>
            <w:left w:w="0" w:type="dxa"/>
            <w:bottom w:w="0" w:type="dxa"/>
            <w:right w:w="0" w:type="dxa"/>
          </w:tblCellMar>
        </w:tblPrEx>
        <w:trPr>
          <w:trHeight w:val="557"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管网</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泵站</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万立方米/日</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≥10</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&lt;5</w:t>
            </w:r>
          </w:p>
        </w:tc>
        <w:tc>
          <w:tcPr>
            <w:tcW w:w="3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管道</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管径（毫米）</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Style w:val="11"/>
                <w:rFonts w:hint="default"/>
                <w:color w:val="000000" w:themeColor="text1"/>
                <w14:textFill>
                  <w14:solidFill>
                    <w14:schemeClr w14:val="tx1"/>
                  </w14:solidFill>
                </w14:textFill>
              </w:rPr>
              <w:t>≥</w:t>
            </w:r>
            <w:r>
              <w:rPr>
                <w:rStyle w:val="12"/>
                <w:rFonts w:hint="default"/>
                <w:color w:val="000000" w:themeColor="text1"/>
                <w14:textFill>
                  <w14:solidFill>
                    <w14:schemeClr w14:val="tx1"/>
                  </w14:solidFill>
                </w14:textFill>
              </w:rPr>
              <w:t>1500</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Style w:val="12"/>
                <w:rFonts w:hint="default"/>
                <w:color w:val="000000" w:themeColor="text1"/>
                <w14:textFill>
                  <w14:solidFill>
                    <w14:schemeClr w14:val="tx1"/>
                  </w14:solidFill>
                </w14:textFill>
              </w:rPr>
              <w:t>1500～1000</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r>
              <w:rPr>
                <w:rStyle w:val="12"/>
                <w:rFonts w:hint="default"/>
                <w:color w:val="000000" w:themeColor="text1"/>
                <w14:textFill>
                  <w14:solidFill>
                    <w14:schemeClr w14:val="tx1"/>
                  </w14:solidFill>
                </w14:textFill>
              </w:rPr>
              <w:t>1000</w:t>
            </w:r>
          </w:p>
        </w:tc>
        <w:tc>
          <w:tcPr>
            <w:tcW w:w="3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1350" w:hRule="atLeast"/>
        </w:trPr>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燃气工程</w:t>
            </w:r>
          </w:p>
        </w:tc>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城市燃气输配气系统</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万立方米/年</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≥10000（高、次高、中压、低压）</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&lt;10000（次高、中、低压）</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小区管网及户内管网（中、低压）</w:t>
            </w:r>
          </w:p>
        </w:tc>
        <w:tc>
          <w:tcPr>
            <w:tcW w:w="3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门站、储备站、调压站、各级压力管网系统的整体项目均属大型项目</w:t>
            </w:r>
          </w:p>
        </w:tc>
      </w:tr>
      <w:tr>
        <w:tblPrEx>
          <w:tblCellMar>
            <w:top w:w="0" w:type="dxa"/>
            <w:left w:w="0" w:type="dxa"/>
            <w:bottom w:w="0" w:type="dxa"/>
            <w:right w:w="0" w:type="dxa"/>
          </w:tblCellMar>
        </w:tblPrEx>
        <w:trPr>
          <w:trHeight w:val="512"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人工气源厂</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万立方米/日</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≥30</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&lt;30</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含燃气汽车加气站</w:t>
            </w:r>
          </w:p>
        </w:tc>
      </w:tr>
      <w:tr>
        <w:tblPrEx>
          <w:tblCellMar>
            <w:top w:w="0" w:type="dxa"/>
            <w:left w:w="0" w:type="dxa"/>
            <w:bottom w:w="0" w:type="dxa"/>
            <w:right w:w="0" w:type="dxa"/>
          </w:tblCellMar>
        </w:tblPrEx>
        <w:trPr>
          <w:trHeight w:val="873"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城市液化石油气储备站</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瓶/日罐装能力</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≥4000</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Style w:val="12"/>
                <w:rFonts w:hint="default"/>
                <w:color w:val="000000" w:themeColor="text1"/>
                <w14:textFill>
                  <w14:solidFill>
                    <w14:schemeClr w14:val="tx1"/>
                  </w14:solidFill>
                </w14:textFill>
              </w:rPr>
              <w:t>1000～4000</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&lt;1000</w:t>
            </w:r>
          </w:p>
        </w:tc>
        <w:tc>
          <w:tcPr>
            <w:tcW w:w="3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bl>
    <w:p>
      <w:pPr>
        <w:spacing w:line="520" w:lineRule="exact"/>
        <w:jc w:val="center"/>
        <w:rPr>
          <w:rFonts w:asciiTheme="majorEastAsia" w:hAnsiTheme="majorEastAsia" w:eastAsiaTheme="majorEastAsia" w:cstheme="majorEastAsia"/>
          <w:color w:val="000000" w:themeColor="text1"/>
          <w:sz w:val="36"/>
          <w:szCs w:val="36"/>
          <w14:textFill>
            <w14:solidFill>
              <w14:schemeClr w14:val="tx1"/>
            </w14:solidFill>
          </w14:textFill>
        </w:rPr>
      </w:pPr>
    </w:p>
    <w:tbl>
      <w:tblPr>
        <w:tblStyle w:val="6"/>
        <w:tblW w:w="13977" w:type="dxa"/>
        <w:tblInd w:w="0" w:type="dxa"/>
        <w:tblLayout w:type="autofit"/>
        <w:tblCellMar>
          <w:top w:w="0" w:type="dxa"/>
          <w:left w:w="0" w:type="dxa"/>
          <w:bottom w:w="0" w:type="dxa"/>
          <w:right w:w="0" w:type="dxa"/>
        </w:tblCellMar>
      </w:tblPr>
      <w:tblGrid>
        <w:gridCol w:w="1208"/>
        <w:gridCol w:w="1819"/>
        <w:gridCol w:w="1806"/>
        <w:gridCol w:w="1509"/>
        <w:gridCol w:w="1561"/>
        <w:gridCol w:w="1560"/>
        <w:gridCol w:w="1208"/>
        <w:gridCol w:w="3306"/>
      </w:tblGrid>
      <w:tr>
        <w:tblPrEx>
          <w:tblCellMar>
            <w:top w:w="0" w:type="dxa"/>
            <w:left w:w="0" w:type="dxa"/>
            <w:bottom w:w="0" w:type="dxa"/>
            <w:right w:w="0" w:type="dxa"/>
          </w:tblCellMar>
        </w:tblPrEx>
        <w:trPr>
          <w:trHeight w:val="483"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序号</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建设项目</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单位</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中型</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小型</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trHeight w:val="731" w:hRule="atLeast"/>
        </w:trPr>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热力工程</w:t>
            </w:r>
          </w:p>
        </w:tc>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热源厂</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兆瓦</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热水锅炉，</w:t>
            </w:r>
          </w:p>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w:t>
            </w:r>
            <w:r>
              <w:rPr>
                <w:rStyle w:val="13"/>
                <w:color w:val="000000" w:themeColor="text1"/>
                <w14:textFill>
                  <w14:solidFill>
                    <w14:schemeClr w14:val="tx1"/>
                  </w14:solidFill>
                </w14:textFill>
              </w:rPr>
              <w:t>×</w:t>
            </w:r>
            <w:r>
              <w:rPr>
                <w:rFonts w:hint="eastAsia" w:ascii="宋体" w:hAnsi="宋体" w:cs="宋体"/>
                <w:color w:val="000000" w:themeColor="text1"/>
                <w:kern w:val="0"/>
                <w:sz w:val="22"/>
                <w:szCs w:val="22"/>
                <w14:textFill>
                  <w14:solidFill>
                    <w14:schemeClr w14:val="tx1"/>
                  </w14:solidFill>
                </w14:textFill>
              </w:rPr>
              <w:t>58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热水锅炉，</w:t>
            </w:r>
          </w:p>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3×14～3×58</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3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以供热、制冷为主、单台≤25兆瓦的小型热电厂也属大型项目</w:t>
            </w:r>
          </w:p>
        </w:tc>
      </w:tr>
      <w:tr>
        <w:tblPrEx>
          <w:tblCellMar>
            <w:top w:w="0" w:type="dxa"/>
            <w:left w:w="0" w:type="dxa"/>
            <w:bottom w:w="0" w:type="dxa"/>
            <w:right w:w="0" w:type="dxa"/>
          </w:tblCellMar>
        </w:tblPrEx>
        <w:trPr>
          <w:trHeight w:val="779"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吨/时</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蒸汽锅炉，</w:t>
            </w:r>
          </w:p>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≥3×75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蒸汽锅炉，</w:t>
            </w:r>
          </w:p>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3×20～3×75</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3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1041"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热网系统</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毫米</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城市供热一级网，DN≥800毫米；热力站</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城市供热一级网，DN&lt;800毫米</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城市供热二级网，DN≤400毫米</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669"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供热面积</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万平方米</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≥500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150～500</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&lt;150</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2339"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道路工程</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等级</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城市快车速路、主干道、全苜蓿叶型、双喇叭型、枢纽型等独立的互通式立体交叉工程（含交通工程设施）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城市次干道、简单立体交叉工程（含交通工程设施）</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城市支路（含交通工程设施）</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道路工程等标准参见《城市道路设计规范》（CJJ37-90）</w:t>
            </w:r>
          </w:p>
        </w:tc>
      </w:tr>
      <w:tr>
        <w:tblPrEx>
          <w:tblCellMar>
            <w:top w:w="0" w:type="dxa"/>
            <w:left w:w="0" w:type="dxa"/>
            <w:bottom w:w="0" w:type="dxa"/>
            <w:right w:w="0" w:type="dxa"/>
          </w:tblCellMar>
        </w:tblPrEx>
        <w:trPr>
          <w:trHeight w:val="726"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桥梁工程</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米</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单跨≥40米、总长≥100米的桥梁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单跨&lt;40米、总长&lt;101米的桥梁</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384"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隧道工程</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城市隧道工程均属大型项目</w:t>
            </w:r>
          </w:p>
        </w:tc>
      </w:tr>
    </w:tbl>
    <w:p>
      <w:pPr>
        <w:spacing w:line="520" w:lineRule="exact"/>
        <w:jc w:val="center"/>
        <w:rPr>
          <w:rFonts w:asciiTheme="majorEastAsia" w:hAnsiTheme="majorEastAsia" w:eastAsiaTheme="majorEastAsia" w:cstheme="majorEastAsia"/>
          <w:color w:val="000000" w:themeColor="text1"/>
          <w:sz w:val="36"/>
          <w:szCs w:val="36"/>
          <w14:textFill>
            <w14:solidFill>
              <w14:schemeClr w14:val="tx1"/>
            </w14:solidFill>
          </w14:textFill>
        </w:rPr>
      </w:pPr>
    </w:p>
    <w:tbl>
      <w:tblPr>
        <w:tblStyle w:val="6"/>
        <w:tblW w:w="13857" w:type="dxa"/>
        <w:tblInd w:w="0" w:type="dxa"/>
        <w:tblLayout w:type="autofit"/>
        <w:tblCellMar>
          <w:top w:w="0" w:type="dxa"/>
          <w:left w:w="0" w:type="dxa"/>
          <w:bottom w:w="0" w:type="dxa"/>
          <w:right w:w="0" w:type="dxa"/>
        </w:tblCellMar>
      </w:tblPr>
      <w:tblGrid>
        <w:gridCol w:w="1311"/>
        <w:gridCol w:w="1131"/>
        <w:gridCol w:w="1740"/>
        <w:gridCol w:w="1554"/>
        <w:gridCol w:w="1529"/>
        <w:gridCol w:w="1693"/>
        <w:gridCol w:w="1311"/>
        <w:gridCol w:w="3588"/>
      </w:tblGrid>
      <w:tr>
        <w:tblPrEx>
          <w:tblCellMar>
            <w:top w:w="0" w:type="dxa"/>
            <w:left w:w="0" w:type="dxa"/>
            <w:bottom w:w="0" w:type="dxa"/>
            <w:right w:w="0" w:type="dxa"/>
          </w:tblCellMar>
        </w:tblPrEx>
        <w:trPr>
          <w:trHeight w:val="643" w:hRule="atLeast"/>
        </w:trPr>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序号</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建设项目</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单位</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大型</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中型</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小型</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trHeight w:val="676"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公共交通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快速公交系统（BRT）</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快速公交系统（BRT）工程均属大型项目</w:t>
            </w:r>
          </w:p>
        </w:tc>
      </w:tr>
      <w:tr>
        <w:tblPrEx>
          <w:tblCellMar>
            <w:top w:w="0" w:type="dxa"/>
            <w:left w:w="0" w:type="dxa"/>
            <w:bottom w:w="0" w:type="dxa"/>
            <w:right w:w="0" w:type="dxa"/>
          </w:tblCellMar>
        </w:tblPrEx>
        <w:trPr>
          <w:trHeight w:val="719"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电车系统</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电车系统工程含机电设备系统、轨道系统，均属大型工程项目</w:t>
            </w:r>
          </w:p>
        </w:tc>
      </w:tr>
      <w:tr>
        <w:tblPrEx>
          <w:tblCellMar>
            <w:top w:w="0" w:type="dxa"/>
            <w:left w:w="0" w:type="dxa"/>
            <w:bottom w:w="0" w:type="dxa"/>
            <w:right w:w="0" w:type="dxa"/>
          </w:tblCellMar>
        </w:tblPrEx>
        <w:trPr>
          <w:trHeight w:val="498"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公共交通专用道</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公共交通专用道工程均属大型项目</w:t>
            </w:r>
          </w:p>
        </w:tc>
      </w:tr>
      <w:tr>
        <w:tblPrEx>
          <w:tblCellMar>
            <w:top w:w="0" w:type="dxa"/>
            <w:left w:w="0" w:type="dxa"/>
            <w:bottom w:w="0" w:type="dxa"/>
            <w:right w:w="0" w:type="dxa"/>
          </w:tblCellMar>
        </w:tblPrEx>
        <w:trPr>
          <w:trHeight w:val="54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公交场站</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平方米</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≥6000</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&lt;6000</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1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公交枢纽</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公交枢纽工程均属大型项目</w:t>
            </w:r>
          </w:p>
        </w:tc>
      </w:tr>
      <w:tr>
        <w:tblPrEx>
          <w:tblCellMar>
            <w:top w:w="0" w:type="dxa"/>
            <w:left w:w="0" w:type="dxa"/>
            <w:bottom w:w="0" w:type="dxa"/>
            <w:right w:w="0" w:type="dxa"/>
          </w:tblCellMar>
        </w:tblPrEx>
        <w:trPr>
          <w:trHeight w:val="513" w:hRule="atLeast"/>
        </w:trPr>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轨道交通工程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轨道交通工程均属大型项目</w:t>
            </w:r>
          </w:p>
        </w:tc>
      </w:tr>
      <w:tr>
        <w:tblPrEx>
          <w:tblCellMar>
            <w:top w:w="0" w:type="dxa"/>
            <w:left w:w="0" w:type="dxa"/>
            <w:bottom w:w="0" w:type="dxa"/>
            <w:right w:w="0" w:type="dxa"/>
          </w:tblCellMar>
        </w:tblPrEx>
        <w:trPr>
          <w:trHeight w:val="544"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环境卫生工程（含固体废弃物处理工程）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生活垃圾焚烧工程（含热能利用）</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生活垃圾焚烧工程均属大型项目</w:t>
            </w:r>
          </w:p>
        </w:tc>
      </w:tr>
      <w:tr>
        <w:tblPrEx>
          <w:tblCellMar>
            <w:top w:w="0" w:type="dxa"/>
            <w:left w:w="0" w:type="dxa"/>
            <w:bottom w:w="0" w:type="dxa"/>
            <w:right w:w="0" w:type="dxa"/>
          </w:tblCellMar>
        </w:tblPrEx>
        <w:trPr>
          <w:trHeight w:val="54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卫生填埋</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吨/天</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≥500</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200～500</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&lt;200</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58"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堆（制）肥工程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吨/天</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≥300</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&lt;300</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2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转运站</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吨/天</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≥400</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150～400</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&lt;150</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51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危险废弃物处理</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危险废弃物处理工程均属大型项目</w:t>
            </w:r>
          </w:p>
        </w:tc>
      </w:tr>
      <w:tr>
        <w:tblPrEx>
          <w:tblCellMar>
            <w:top w:w="0" w:type="dxa"/>
            <w:left w:w="0" w:type="dxa"/>
            <w:bottom w:w="0" w:type="dxa"/>
            <w:right w:w="0" w:type="dxa"/>
          </w:tblCellMar>
        </w:tblPrEx>
        <w:trPr>
          <w:trHeight w:val="439"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医疗废弃物</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吨/天</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22"/>
                <w:szCs w:val="22"/>
                <w14:textFill>
                  <w14:solidFill>
                    <w14:schemeClr w14:val="tx1"/>
                  </w14:solidFill>
                </w14:textFill>
              </w:rPr>
              <w:t>≥5</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&lt;5</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14:textFill>
                  <w14:solidFill>
                    <w14:schemeClr w14:val="tx1"/>
                  </w14:solidFill>
                </w14:textFill>
              </w:rPr>
            </w:pPr>
          </w:p>
        </w:tc>
      </w:tr>
    </w:tbl>
    <w:p>
      <w:pPr>
        <w:spacing w:line="520" w:lineRule="exact"/>
        <w:jc w:val="center"/>
        <w:rPr>
          <w:rFonts w:asciiTheme="majorEastAsia" w:hAnsiTheme="majorEastAsia" w:eastAsiaTheme="majorEastAsia" w:cstheme="majorEastAsia"/>
          <w:color w:val="000000" w:themeColor="text1"/>
          <w:sz w:val="36"/>
          <w:szCs w:val="36"/>
          <w14:textFill>
            <w14:solidFill>
              <w14:schemeClr w14:val="tx1"/>
            </w14:solidFill>
          </w14:textFill>
        </w:rPr>
        <w:sectPr>
          <w:pgSz w:w="16838" w:h="11906" w:orient="landscape"/>
          <w:pgMar w:top="1803" w:right="1440" w:bottom="1803" w:left="1440" w:header="851" w:footer="992" w:gutter="0"/>
          <w:cols w:space="0" w:num="1"/>
          <w:docGrid w:type="lines" w:linePitch="319" w:charSpace="0"/>
        </w:sectPr>
      </w:pP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附件4-2</w:t>
      </w:r>
    </w:p>
    <w:tbl>
      <w:tblPr>
        <w:tblStyle w:val="6"/>
        <w:tblW w:w="8835" w:type="dxa"/>
        <w:tblInd w:w="0" w:type="dxa"/>
        <w:tblLayout w:type="autofit"/>
        <w:tblCellMar>
          <w:top w:w="0" w:type="dxa"/>
          <w:left w:w="0" w:type="dxa"/>
          <w:bottom w:w="0" w:type="dxa"/>
          <w:right w:w="0" w:type="dxa"/>
        </w:tblCellMar>
      </w:tblPr>
      <w:tblGrid>
        <w:gridCol w:w="1080"/>
        <w:gridCol w:w="1080"/>
        <w:gridCol w:w="1593"/>
        <w:gridCol w:w="1662"/>
        <w:gridCol w:w="1740"/>
        <w:gridCol w:w="1680"/>
      </w:tblGrid>
      <w:tr>
        <w:tblPrEx>
          <w:tblCellMar>
            <w:top w:w="0" w:type="dxa"/>
            <w:left w:w="0" w:type="dxa"/>
            <w:bottom w:w="0" w:type="dxa"/>
            <w:right w:w="0" w:type="dxa"/>
          </w:tblCellMar>
        </w:tblPrEx>
        <w:trPr>
          <w:trHeight w:val="580" w:hRule="atLeast"/>
        </w:trPr>
        <w:tc>
          <w:tcPr>
            <w:tcW w:w="8835" w:type="dxa"/>
            <w:gridSpan w:val="6"/>
            <w:tcBorders>
              <w:top w:val="nil"/>
              <w:left w:val="nil"/>
              <w:bottom w:val="nil"/>
              <w:right w:val="nil"/>
            </w:tcBorders>
            <w:shd w:val="clear" w:color="auto" w:fill="auto"/>
            <w:tcMar>
              <w:top w:w="15" w:type="dxa"/>
              <w:left w:w="15" w:type="dxa"/>
              <w:right w:w="15" w:type="dxa"/>
            </w:tcMar>
            <w:vAlign w:val="center"/>
          </w:tcPr>
          <w:p>
            <w:pPr>
              <w:spacing w:line="520" w:lineRule="exact"/>
              <w:jc w:val="center"/>
              <w:rPr>
                <w:rFonts w:ascii="宋体" w:hAnsi="宋体" w:cs="宋体"/>
                <w:color w:val="000000" w:themeColor="text1"/>
                <w:sz w:val="20"/>
                <w:szCs w:val="20"/>
                <w14:textFill>
                  <w14:solidFill>
                    <w14:schemeClr w14:val="tx1"/>
                  </w14:solidFill>
                </w14:textFill>
              </w:rPr>
            </w:pPr>
            <w:r>
              <w:rPr>
                <w:rFonts w:hint="eastAsia" w:asciiTheme="majorEastAsia" w:hAnsiTheme="majorEastAsia" w:eastAsiaTheme="majorEastAsia" w:cstheme="majorEastAsia"/>
                <w:color w:val="000000" w:themeColor="text1"/>
                <w:sz w:val="36"/>
                <w:szCs w:val="36"/>
                <w14:textFill>
                  <w14:solidFill>
                    <w14:schemeClr w14:val="tx1"/>
                  </w14:solidFill>
                </w14:textFill>
              </w:rPr>
              <w:t>建筑工程项目设计规模划分表</w:t>
            </w:r>
          </w:p>
        </w:tc>
      </w:tr>
      <w:tr>
        <w:tblPrEx>
          <w:tblCellMar>
            <w:top w:w="0" w:type="dxa"/>
            <w:left w:w="0" w:type="dxa"/>
            <w:bottom w:w="0" w:type="dxa"/>
            <w:right w:w="0"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建设项目</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工程等级特征</w:t>
            </w: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大型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中型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小型</w:t>
            </w:r>
          </w:p>
        </w:tc>
      </w:tr>
      <w:tr>
        <w:tblPrEx>
          <w:tblCellMar>
            <w:top w:w="0" w:type="dxa"/>
            <w:left w:w="0" w:type="dxa"/>
            <w:bottom w:w="0" w:type="dxa"/>
            <w:right w:w="0" w:type="dxa"/>
          </w:tblCellMar>
        </w:tblPrEx>
        <w:trPr>
          <w:trHeight w:val="5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一般公共建筑</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单体建筑面积</w:t>
            </w: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20000</w:t>
            </w:r>
            <w:r>
              <w:rPr>
                <w:rStyle w:val="14"/>
                <w:color w:val="000000" w:themeColor="text1"/>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5000～20000㎡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≤5000㎡</w:t>
            </w:r>
          </w:p>
        </w:tc>
      </w:tr>
      <w:tr>
        <w:tblPrEx>
          <w:tblCellMar>
            <w:top w:w="0" w:type="dxa"/>
            <w:left w:w="0" w:type="dxa"/>
            <w:bottom w:w="0" w:type="dxa"/>
            <w:right w:w="0" w:type="dxa"/>
          </w:tblCellMar>
        </w:tblPrEx>
        <w:trPr>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建筑高度</w:t>
            </w: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&gt;50m</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24～50m</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≤24m</w:t>
            </w:r>
          </w:p>
        </w:tc>
      </w:tr>
      <w:tr>
        <w:tblPrEx>
          <w:tblCellMar>
            <w:top w:w="0" w:type="dxa"/>
            <w:left w:w="0" w:type="dxa"/>
            <w:bottom w:w="0" w:type="dxa"/>
            <w:right w:w="0" w:type="dxa"/>
          </w:tblCellMar>
        </w:tblPrEx>
        <w:trPr>
          <w:trHeight w:val="10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复杂程度</w:t>
            </w: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1.大型公共建筑工程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1.中型公共建筑工程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1.功能单一、技术要求简单的小型公共建筑工程</w:t>
            </w:r>
          </w:p>
        </w:tc>
      </w:tr>
      <w:tr>
        <w:tblPrEx>
          <w:tblCellMar>
            <w:top w:w="0" w:type="dxa"/>
            <w:left w:w="0" w:type="dxa"/>
            <w:bottom w:w="0" w:type="dxa"/>
            <w:right w:w="0" w:type="dxa"/>
          </w:tblCellMar>
        </w:tblPrEx>
        <w:trPr>
          <w:trHeight w:val="12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2.技术要求复杂或具有经济、文化、历史等意义的省（市）级中小型公共建筑工程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2.技术要求复杂或有地区性意义的小型公共建筑工程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2.高度小于&lt;24m的一般公共建筑工程</w:t>
            </w:r>
          </w:p>
        </w:tc>
      </w:tr>
      <w:tr>
        <w:tblPrEx>
          <w:tblCellMar>
            <w:top w:w="0" w:type="dxa"/>
            <w:left w:w="0" w:type="dxa"/>
            <w:bottom w:w="0" w:type="dxa"/>
            <w:right w:w="0"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3.高度&gt;50m的公共建筑工程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3.高度24～50m的一般公共建筑工程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3.小型仓储建筑工程</w:t>
            </w:r>
          </w:p>
        </w:tc>
      </w:tr>
      <w:tr>
        <w:tblPrEx>
          <w:tblCellMar>
            <w:top w:w="0" w:type="dxa"/>
            <w:left w:w="0" w:type="dxa"/>
            <w:bottom w:w="0" w:type="dxa"/>
            <w:right w:w="0" w:type="dxa"/>
          </w:tblCellMar>
        </w:tblPrEx>
        <w:trPr>
          <w:trHeight w:val="10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4.相当于四、五星饭店标准的室内装修、特殊声学装修工程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4.仿古建筑、一般标准的古建筑、保护性建筑以及地下建筑工程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4.简单的设备用房及其它配套用房工程</w:t>
            </w:r>
          </w:p>
        </w:tc>
      </w:tr>
      <w:tr>
        <w:tblPrEx>
          <w:tblCellMar>
            <w:top w:w="0" w:type="dxa"/>
            <w:left w:w="0" w:type="dxa"/>
            <w:bottom w:w="0" w:type="dxa"/>
            <w:right w:w="0" w:type="dxa"/>
          </w:tblCellMar>
        </w:tblPrEx>
        <w:trPr>
          <w:trHeight w:val="11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5.高标准的古建筑、保护性建筑和地下建筑工程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5.大中型仓储建筑工程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5.简单的建筑环境设计及室外工程</w:t>
            </w:r>
          </w:p>
        </w:tc>
      </w:tr>
      <w:tr>
        <w:tblPrEx>
          <w:tblCellMar>
            <w:top w:w="0" w:type="dxa"/>
            <w:left w:w="0" w:type="dxa"/>
            <w:bottom w:w="0" w:type="dxa"/>
            <w:right w:w="0" w:type="dxa"/>
          </w:tblCellMar>
        </w:tblPrEx>
        <w:trPr>
          <w:trHeight w:val="9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6.高标准的建筑环境设计和室外工程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6.一般标准的建筑环境设计和室外工程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6.相当于一星饭店及以下标准的室内装修工程</w:t>
            </w:r>
          </w:p>
        </w:tc>
      </w:tr>
      <w:tr>
        <w:tblPrEx>
          <w:tblCellMar>
            <w:top w:w="0" w:type="dxa"/>
            <w:left w:w="0" w:type="dxa"/>
            <w:bottom w:w="0" w:type="dxa"/>
            <w:right w:w="0" w:type="dxa"/>
          </w:tblCellMar>
        </w:tblPrEx>
        <w:trPr>
          <w:trHeight w:val="18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7.技术要求复杂的工业厂房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7.跨度小于30米、吊车吨位小于30吨的单层厂房或仓库；跨度小于12米、6层以下的多层厂房或仓库</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7.跨度小于24米、吊车吨位小于10吨的单层厂房或仓库；跨度小于6米、楼盖无动荷载的3层以下的多层厂房或仓库</w:t>
            </w:r>
          </w:p>
        </w:tc>
      </w:tr>
    </w:tbl>
    <w:p>
      <w:pPr>
        <w:spacing w:line="520" w:lineRule="exact"/>
        <w:jc w:val="center"/>
        <w:rPr>
          <w:rFonts w:asciiTheme="majorEastAsia" w:hAnsiTheme="majorEastAsia" w:eastAsiaTheme="majorEastAsia" w:cstheme="majorEastAsia"/>
          <w:color w:val="000000" w:themeColor="text1"/>
          <w:sz w:val="36"/>
          <w:szCs w:val="36"/>
          <w14:textFill>
            <w14:solidFill>
              <w14:schemeClr w14:val="tx1"/>
            </w14:solidFill>
          </w14:textFill>
        </w:rPr>
      </w:pPr>
    </w:p>
    <w:p>
      <w:pPr>
        <w:spacing w:line="520" w:lineRule="exact"/>
        <w:jc w:val="center"/>
        <w:rPr>
          <w:rFonts w:asciiTheme="majorEastAsia" w:hAnsiTheme="majorEastAsia" w:eastAsiaTheme="majorEastAsia" w:cstheme="majorEastAsia"/>
          <w:color w:val="000000" w:themeColor="text1"/>
          <w:sz w:val="36"/>
          <w:szCs w:val="36"/>
          <w14:textFill>
            <w14:solidFill>
              <w14:schemeClr w14:val="tx1"/>
            </w14:solidFill>
          </w14:textFill>
        </w:rPr>
      </w:pPr>
    </w:p>
    <w:p>
      <w:pPr>
        <w:spacing w:line="520" w:lineRule="exact"/>
        <w:jc w:val="center"/>
        <w:rPr>
          <w:rFonts w:asciiTheme="majorEastAsia" w:hAnsiTheme="majorEastAsia" w:eastAsiaTheme="majorEastAsia" w:cstheme="majorEastAsia"/>
          <w:color w:val="000000" w:themeColor="text1"/>
          <w:sz w:val="36"/>
          <w:szCs w:val="36"/>
          <w14:textFill>
            <w14:solidFill>
              <w14:schemeClr w14:val="tx1"/>
            </w14:solidFill>
          </w14:textFill>
        </w:rPr>
      </w:pPr>
    </w:p>
    <w:tbl>
      <w:tblPr>
        <w:tblStyle w:val="6"/>
        <w:tblW w:w="8835" w:type="dxa"/>
        <w:tblInd w:w="0" w:type="dxa"/>
        <w:tblLayout w:type="autofit"/>
        <w:tblCellMar>
          <w:top w:w="0" w:type="dxa"/>
          <w:left w:w="0" w:type="dxa"/>
          <w:bottom w:w="0" w:type="dxa"/>
          <w:right w:w="0" w:type="dxa"/>
        </w:tblCellMar>
      </w:tblPr>
      <w:tblGrid>
        <w:gridCol w:w="1080"/>
        <w:gridCol w:w="1080"/>
        <w:gridCol w:w="1608"/>
        <w:gridCol w:w="1755"/>
        <w:gridCol w:w="1632"/>
        <w:gridCol w:w="1680"/>
      </w:tblGrid>
      <w:tr>
        <w:tblPrEx>
          <w:tblCellMar>
            <w:top w:w="0" w:type="dxa"/>
            <w:left w:w="0" w:type="dxa"/>
            <w:bottom w:w="0" w:type="dxa"/>
            <w:right w:w="0"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建设项目</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工程等级特征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大型</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中型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小型</w:t>
            </w:r>
          </w:p>
        </w:tc>
      </w:tr>
      <w:tr>
        <w:tblPrEx>
          <w:tblCellMar>
            <w:top w:w="0" w:type="dxa"/>
            <w:left w:w="0" w:type="dxa"/>
            <w:bottom w:w="0" w:type="dxa"/>
            <w:right w:w="0" w:type="dxa"/>
          </w:tblCellMar>
        </w:tblPrEx>
        <w:trPr>
          <w:trHeight w:val="10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一般公共建筑</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复杂程度</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8.相当于二、三星级饭店标准的室内装修工程</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1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住宅宿舍</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层数</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&gt;20层</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12层～20层</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≤12层</w:t>
            </w:r>
            <w:r>
              <w:rPr>
                <w:rFonts w:hint="eastAsia" w:ascii="宋体" w:hAnsi="宋体" w:cs="宋体"/>
                <w:color w:val="000000" w:themeColor="text1"/>
                <w:kern w:val="0"/>
                <w:sz w:val="20"/>
                <w:szCs w:val="20"/>
                <w:vertAlign w:val="superscript"/>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（其中砌体块建筑不得超过抗震规范层数限值要求）</w:t>
            </w:r>
          </w:p>
        </w:tc>
      </w:tr>
      <w:tr>
        <w:tblPrEx>
          <w:tblCellMar>
            <w:top w:w="0" w:type="dxa"/>
            <w:left w:w="0" w:type="dxa"/>
            <w:bottom w:w="0" w:type="dxa"/>
            <w:right w:w="0" w:type="dxa"/>
          </w:tblCellMar>
        </w:tblPrEx>
        <w:trPr>
          <w:trHeight w:val="10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复杂程度</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20层以上的居住建筑和20层及以下高标准居住建筑工程</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20层及以下一般标准的居住建筑工程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住宅小区工厂生活区</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总建筑面积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&gt;30万</w:t>
            </w:r>
            <w:r>
              <w:rPr>
                <w:rStyle w:val="15"/>
                <w:color w:val="000000" w:themeColor="text1"/>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规划设计</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≤30万㎡规划设计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单体建筑按上述住宅或公共建筑标准执行</w:t>
            </w:r>
          </w:p>
        </w:tc>
      </w:tr>
      <w:tr>
        <w:tblPrEx>
          <w:tblCellMar>
            <w:top w:w="0" w:type="dxa"/>
            <w:left w:w="0" w:type="dxa"/>
            <w:bottom w:w="0" w:type="dxa"/>
            <w:right w:w="0" w:type="dxa"/>
          </w:tblCellMar>
        </w:tblPrEx>
        <w:trPr>
          <w:trHeight w:val="5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地下工程</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地下空间（总建筑面积）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&gt;1万</w:t>
            </w:r>
            <w:r>
              <w:rPr>
                <w:rStyle w:val="15"/>
                <w:color w:val="000000" w:themeColor="text1"/>
                <w14:textFill>
                  <w14:solidFill>
                    <w14:schemeClr w14:val="tx1"/>
                  </w14:solidFill>
                </w14:textFill>
              </w:rPr>
              <w:t>㎡</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≤1万㎡</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建筑式人防（防护等级）</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四级以上</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五级及以下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人防疏散干道、支干道及人防连接通道等人防配套工程</w:t>
            </w:r>
          </w:p>
        </w:tc>
      </w:tr>
      <w:tr>
        <w:tblPrEx>
          <w:tblCellMar>
            <w:top w:w="0" w:type="dxa"/>
            <w:left w:w="0" w:type="dxa"/>
            <w:bottom w:w="0" w:type="dxa"/>
            <w:right w:w="0" w:type="dxa"/>
          </w:tblCellMar>
        </w:tblPrEx>
        <w:trPr>
          <w:trHeight w:val="580" w:hRule="atLeast"/>
        </w:trPr>
        <w:tc>
          <w:tcPr>
            <w:tcW w:w="8835" w:type="dxa"/>
            <w:gridSpan w:val="6"/>
            <w:tcBorders>
              <w:top w:val="single" w:color="000000"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*：本小型建筑是指不采用桩基和不含危险性基坑工程的建筑。</w:t>
            </w:r>
          </w:p>
          <w:p>
            <w:pPr>
              <w:widowControl/>
              <w:jc w:val="left"/>
              <w:textAlignment w:val="center"/>
              <w:rPr>
                <w:rFonts w:hint="eastAsia" w:ascii="宋体" w:hAnsi="宋体" w:cs="宋体"/>
                <w:color w:val="000000" w:themeColor="text1"/>
                <w:kern w:val="0"/>
                <w:sz w:val="20"/>
                <w:szCs w:val="20"/>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宋体" w:hAnsi="宋体" w:cs="宋体"/>
                <w:color w:val="000000" w:themeColor="text1"/>
                <w:kern w:val="0"/>
                <w:sz w:val="20"/>
                <w:szCs w:val="20"/>
                <w14:textFill>
                  <w14:solidFill>
                    <w14:schemeClr w14:val="tx1"/>
                  </w14:solidFill>
                </w14:textFill>
              </w:rPr>
              <w:t xml:space="preserve">  正文中特殊建设工程和人员密集场所是指：</w:t>
            </w:r>
            <w:r>
              <w:rPr>
                <w:rFonts w:hint="eastAsia" w:ascii="宋体" w:hAnsi="宋体" w:cs="宋体"/>
                <w:color w:val="000000" w:themeColor="text1"/>
                <w:kern w:val="0"/>
                <w:sz w:val="20"/>
                <w:szCs w:val="20"/>
                <w:lang w:val="en-US" w:eastAsia="zh-CN"/>
                <w14:textFill>
                  <w14:solidFill>
                    <w14:schemeClr w14:val="tx1"/>
                  </w14:solidFill>
                </w14:textFill>
              </w:rPr>
              <w:t>《中华人民共和国住房城乡建设部令第51号》第十四条所规定的项目”；“人员密集场所”指“《中华人民共和国消防法》第七十三条所规定的项目</w:t>
            </w:r>
            <w:r>
              <w:rPr>
                <w:rFonts w:hint="eastAsia" w:ascii="宋体" w:hAnsi="宋体" w:cs="宋体"/>
                <w:color w:val="000000" w:themeColor="text1"/>
                <w:kern w:val="0"/>
                <w:sz w:val="20"/>
                <w:szCs w:val="20"/>
                <w14:textFill>
                  <w14:solidFill>
                    <w14:schemeClr w14:val="tx1"/>
                  </w14:solidFill>
                </w14:textFill>
              </w:rPr>
              <w:t>。</w:t>
            </w:r>
          </w:p>
          <w:p>
            <w:pPr>
              <w:widowControl/>
              <w:jc w:val="left"/>
              <w:textAlignment w:val="center"/>
              <w:rPr>
                <w:rFonts w:ascii="宋体" w:hAnsi="宋体" w:cs="宋体"/>
                <w:color w:val="000000" w:themeColor="text1"/>
                <w:sz w:val="20"/>
                <w:szCs w:val="20"/>
                <w14:textFill>
                  <w14:solidFill>
                    <w14:schemeClr w14:val="tx1"/>
                  </w14:solidFill>
                </w14:textFill>
              </w:rPr>
            </w:pPr>
          </w:p>
        </w:tc>
      </w:tr>
    </w:tbl>
    <w:p>
      <w:pPr>
        <w:spacing w:line="520" w:lineRule="exact"/>
        <w:jc w:val="center"/>
        <w:rPr>
          <w:rFonts w:asciiTheme="majorEastAsia" w:hAnsiTheme="majorEastAsia" w:eastAsiaTheme="majorEastAsia" w:cstheme="majorEastAsia"/>
          <w:color w:val="000000" w:themeColor="text1"/>
          <w:sz w:val="36"/>
          <w:szCs w:val="36"/>
          <w14:textFill>
            <w14:solidFill>
              <w14:schemeClr w14:val="tx1"/>
            </w14:solidFill>
          </w14:textFill>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388644"/>
    </w:sdtPr>
    <w:sdtContent>
      <w:p>
        <w:pPr>
          <w:pStyle w:val="3"/>
          <w:jc w:val="center"/>
        </w:pPr>
        <w:r>
          <w:fldChar w:fldCharType="begin"/>
        </w:r>
        <w:r>
          <w:instrText xml:space="preserve">PAGE   \* MERGEFORMAT</w:instrText>
        </w:r>
        <w:r>
          <w:fldChar w:fldCharType="separate"/>
        </w:r>
        <w:r>
          <w:rPr>
            <w:lang w:val="zh-CN"/>
          </w:rPr>
          <w:t>18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hideSpellingErrors/>
  <w:hideGrammaticalErrors/>
  <w:documentProtection w:enforcement="0"/>
  <w:defaultTabStop w:val="420"/>
  <w:drawingGridVerticalSpacing w:val="159"/>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71"/>
    <w:rsid w:val="000050E0"/>
    <w:rsid w:val="0001491E"/>
    <w:rsid w:val="00020849"/>
    <w:rsid w:val="000350A1"/>
    <w:rsid w:val="00044E0A"/>
    <w:rsid w:val="0004716D"/>
    <w:rsid w:val="00053C71"/>
    <w:rsid w:val="00060D46"/>
    <w:rsid w:val="00084AB6"/>
    <w:rsid w:val="000A0AFB"/>
    <w:rsid w:val="000A502E"/>
    <w:rsid w:val="000B7E85"/>
    <w:rsid w:val="000F1D1F"/>
    <w:rsid w:val="00116F27"/>
    <w:rsid w:val="00137837"/>
    <w:rsid w:val="001404D9"/>
    <w:rsid w:val="00156022"/>
    <w:rsid w:val="001573BE"/>
    <w:rsid w:val="00161D6C"/>
    <w:rsid w:val="00170258"/>
    <w:rsid w:val="0017670E"/>
    <w:rsid w:val="001A4CA4"/>
    <w:rsid w:val="001A74AF"/>
    <w:rsid w:val="001C414E"/>
    <w:rsid w:val="001C76B5"/>
    <w:rsid w:val="001D00C1"/>
    <w:rsid w:val="001D34D5"/>
    <w:rsid w:val="001F001A"/>
    <w:rsid w:val="001F6073"/>
    <w:rsid w:val="00205D93"/>
    <w:rsid w:val="00217194"/>
    <w:rsid w:val="00232CFE"/>
    <w:rsid w:val="00233C2A"/>
    <w:rsid w:val="00235BED"/>
    <w:rsid w:val="00255BEF"/>
    <w:rsid w:val="002716EF"/>
    <w:rsid w:val="00272DAE"/>
    <w:rsid w:val="00274148"/>
    <w:rsid w:val="002764EC"/>
    <w:rsid w:val="00291AC8"/>
    <w:rsid w:val="002B1B60"/>
    <w:rsid w:val="002C2142"/>
    <w:rsid w:val="002C2C77"/>
    <w:rsid w:val="002D421E"/>
    <w:rsid w:val="002E731E"/>
    <w:rsid w:val="0033043B"/>
    <w:rsid w:val="0033636F"/>
    <w:rsid w:val="003441FC"/>
    <w:rsid w:val="00350CBE"/>
    <w:rsid w:val="00371D14"/>
    <w:rsid w:val="003721BD"/>
    <w:rsid w:val="003725FA"/>
    <w:rsid w:val="00372AD2"/>
    <w:rsid w:val="00376A71"/>
    <w:rsid w:val="00385BE7"/>
    <w:rsid w:val="00390C7A"/>
    <w:rsid w:val="00393985"/>
    <w:rsid w:val="003B79C5"/>
    <w:rsid w:val="003E7077"/>
    <w:rsid w:val="004122F2"/>
    <w:rsid w:val="00420138"/>
    <w:rsid w:val="0043620B"/>
    <w:rsid w:val="004B0341"/>
    <w:rsid w:val="004D57EC"/>
    <w:rsid w:val="004E02C8"/>
    <w:rsid w:val="004F5F31"/>
    <w:rsid w:val="004F60AC"/>
    <w:rsid w:val="005015A5"/>
    <w:rsid w:val="00506ACB"/>
    <w:rsid w:val="00520D23"/>
    <w:rsid w:val="00524FB0"/>
    <w:rsid w:val="00540736"/>
    <w:rsid w:val="00554693"/>
    <w:rsid w:val="005B6D7E"/>
    <w:rsid w:val="005C295A"/>
    <w:rsid w:val="00605758"/>
    <w:rsid w:val="0060593A"/>
    <w:rsid w:val="00607026"/>
    <w:rsid w:val="0061490E"/>
    <w:rsid w:val="0062153B"/>
    <w:rsid w:val="00657887"/>
    <w:rsid w:val="0066153C"/>
    <w:rsid w:val="00661951"/>
    <w:rsid w:val="0068348A"/>
    <w:rsid w:val="00686807"/>
    <w:rsid w:val="006A02F7"/>
    <w:rsid w:val="006A5A02"/>
    <w:rsid w:val="006D0849"/>
    <w:rsid w:val="006F75BB"/>
    <w:rsid w:val="00712D49"/>
    <w:rsid w:val="00745040"/>
    <w:rsid w:val="0074654A"/>
    <w:rsid w:val="0076299B"/>
    <w:rsid w:val="00767432"/>
    <w:rsid w:val="007752AE"/>
    <w:rsid w:val="007A3DF6"/>
    <w:rsid w:val="007B3EDA"/>
    <w:rsid w:val="007C2FD1"/>
    <w:rsid w:val="007C793D"/>
    <w:rsid w:val="007D0279"/>
    <w:rsid w:val="007D2574"/>
    <w:rsid w:val="007E64A8"/>
    <w:rsid w:val="008157F7"/>
    <w:rsid w:val="008235B6"/>
    <w:rsid w:val="00826208"/>
    <w:rsid w:val="0083782B"/>
    <w:rsid w:val="008570D0"/>
    <w:rsid w:val="00866AD6"/>
    <w:rsid w:val="00896A49"/>
    <w:rsid w:val="008A0BF9"/>
    <w:rsid w:val="008B4724"/>
    <w:rsid w:val="008C471F"/>
    <w:rsid w:val="008F0073"/>
    <w:rsid w:val="00916461"/>
    <w:rsid w:val="00937EC4"/>
    <w:rsid w:val="00955772"/>
    <w:rsid w:val="00963185"/>
    <w:rsid w:val="00972AFB"/>
    <w:rsid w:val="00986D94"/>
    <w:rsid w:val="009A4628"/>
    <w:rsid w:val="009B1042"/>
    <w:rsid w:val="009C6FF3"/>
    <w:rsid w:val="00A3220D"/>
    <w:rsid w:val="00A4271D"/>
    <w:rsid w:val="00A44AA3"/>
    <w:rsid w:val="00A72499"/>
    <w:rsid w:val="00A80057"/>
    <w:rsid w:val="00A909E1"/>
    <w:rsid w:val="00AA03AA"/>
    <w:rsid w:val="00AF3412"/>
    <w:rsid w:val="00AF4C85"/>
    <w:rsid w:val="00AF66DF"/>
    <w:rsid w:val="00B330FD"/>
    <w:rsid w:val="00B4011A"/>
    <w:rsid w:val="00B64536"/>
    <w:rsid w:val="00B67932"/>
    <w:rsid w:val="00B71ED3"/>
    <w:rsid w:val="00B71F2B"/>
    <w:rsid w:val="00BA0EFB"/>
    <w:rsid w:val="00BA412E"/>
    <w:rsid w:val="00BB6C5D"/>
    <w:rsid w:val="00BD0CE9"/>
    <w:rsid w:val="00C11778"/>
    <w:rsid w:val="00C13EC8"/>
    <w:rsid w:val="00C26792"/>
    <w:rsid w:val="00C27EE7"/>
    <w:rsid w:val="00C47F7C"/>
    <w:rsid w:val="00C61F4B"/>
    <w:rsid w:val="00C6734D"/>
    <w:rsid w:val="00C947C9"/>
    <w:rsid w:val="00CB5BA2"/>
    <w:rsid w:val="00CC063B"/>
    <w:rsid w:val="00CC566C"/>
    <w:rsid w:val="00CD096D"/>
    <w:rsid w:val="00CF4C33"/>
    <w:rsid w:val="00CF4D27"/>
    <w:rsid w:val="00D1570C"/>
    <w:rsid w:val="00D41148"/>
    <w:rsid w:val="00D50761"/>
    <w:rsid w:val="00D53DD3"/>
    <w:rsid w:val="00D54F9A"/>
    <w:rsid w:val="00D5622D"/>
    <w:rsid w:val="00D656E0"/>
    <w:rsid w:val="00D71A84"/>
    <w:rsid w:val="00D7294F"/>
    <w:rsid w:val="00D77B7A"/>
    <w:rsid w:val="00D833C8"/>
    <w:rsid w:val="00D93395"/>
    <w:rsid w:val="00DA179E"/>
    <w:rsid w:val="00DB4665"/>
    <w:rsid w:val="00DB5422"/>
    <w:rsid w:val="00DD5F53"/>
    <w:rsid w:val="00DD77C0"/>
    <w:rsid w:val="00E26796"/>
    <w:rsid w:val="00E31754"/>
    <w:rsid w:val="00E45849"/>
    <w:rsid w:val="00E6690A"/>
    <w:rsid w:val="00E75199"/>
    <w:rsid w:val="00E84497"/>
    <w:rsid w:val="00E9398B"/>
    <w:rsid w:val="00E96889"/>
    <w:rsid w:val="00EA318E"/>
    <w:rsid w:val="00EA3914"/>
    <w:rsid w:val="00EB25E4"/>
    <w:rsid w:val="00EC709D"/>
    <w:rsid w:val="00F045DA"/>
    <w:rsid w:val="00F13145"/>
    <w:rsid w:val="00F23ECC"/>
    <w:rsid w:val="00F25008"/>
    <w:rsid w:val="00F47E1E"/>
    <w:rsid w:val="00F50230"/>
    <w:rsid w:val="00F519B7"/>
    <w:rsid w:val="00F54960"/>
    <w:rsid w:val="00F558B8"/>
    <w:rsid w:val="00F73FEF"/>
    <w:rsid w:val="00FB07CC"/>
    <w:rsid w:val="00FB0936"/>
    <w:rsid w:val="00FD7AC0"/>
    <w:rsid w:val="00FD7E6E"/>
    <w:rsid w:val="00FE1DF2"/>
    <w:rsid w:val="00FE7AD6"/>
    <w:rsid w:val="00FF5E26"/>
    <w:rsid w:val="018805B5"/>
    <w:rsid w:val="01B34949"/>
    <w:rsid w:val="01C73C8F"/>
    <w:rsid w:val="01D268BE"/>
    <w:rsid w:val="03DE2C40"/>
    <w:rsid w:val="041E543A"/>
    <w:rsid w:val="046C459B"/>
    <w:rsid w:val="04B63B02"/>
    <w:rsid w:val="05855A79"/>
    <w:rsid w:val="05DC5481"/>
    <w:rsid w:val="06CD15B9"/>
    <w:rsid w:val="070B4812"/>
    <w:rsid w:val="07BB6456"/>
    <w:rsid w:val="08320D9A"/>
    <w:rsid w:val="08774A82"/>
    <w:rsid w:val="097A6249"/>
    <w:rsid w:val="099B1E05"/>
    <w:rsid w:val="0AC94DF3"/>
    <w:rsid w:val="0AF063F5"/>
    <w:rsid w:val="0BFA2B56"/>
    <w:rsid w:val="0C5C40E3"/>
    <w:rsid w:val="0D5903C1"/>
    <w:rsid w:val="0DA60F97"/>
    <w:rsid w:val="0ECA4DE7"/>
    <w:rsid w:val="0EDB21E2"/>
    <w:rsid w:val="0F79798C"/>
    <w:rsid w:val="108A7D4B"/>
    <w:rsid w:val="112B6D8F"/>
    <w:rsid w:val="11622887"/>
    <w:rsid w:val="13B5451B"/>
    <w:rsid w:val="149F79C1"/>
    <w:rsid w:val="166F017D"/>
    <w:rsid w:val="17610E94"/>
    <w:rsid w:val="183D214F"/>
    <w:rsid w:val="19C6074F"/>
    <w:rsid w:val="19FC4D3A"/>
    <w:rsid w:val="1A3402B6"/>
    <w:rsid w:val="1A8037FC"/>
    <w:rsid w:val="1AEE6384"/>
    <w:rsid w:val="1C876CB9"/>
    <w:rsid w:val="1CB340DF"/>
    <w:rsid w:val="1D4D6D73"/>
    <w:rsid w:val="1DA17D4F"/>
    <w:rsid w:val="1FD87D41"/>
    <w:rsid w:val="20270FB2"/>
    <w:rsid w:val="211C4115"/>
    <w:rsid w:val="2162381F"/>
    <w:rsid w:val="21CE7221"/>
    <w:rsid w:val="22EB4E3C"/>
    <w:rsid w:val="2364172E"/>
    <w:rsid w:val="238E613D"/>
    <w:rsid w:val="24D56018"/>
    <w:rsid w:val="27C308D0"/>
    <w:rsid w:val="2A1F0E0C"/>
    <w:rsid w:val="2AA6653C"/>
    <w:rsid w:val="2B4E4CDF"/>
    <w:rsid w:val="2BE23D6E"/>
    <w:rsid w:val="2BF27E7E"/>
    <w:rsid w:val="2BF65149"/>
    <w:rsid w:val="2D972B16"/>
    <w:rsid w:val="2EBF67FC"/>
    <w:rsid w:val="2F0804B3"/>
    <w:rsid w:val="2FD9139E"/>
    <w:rsid w:val="30157620"/>
    <w:rsid w:val="301D507F"/>
    <w:rsid w:val="31790027"/>
    <w:rsid w:val="3195122F"/>
    <w:rsid w:val="319962BE"/>
    <w:rsid w:val="31BB25E5"/>
    <w:rsid w:val="33092DBA"/>
    <w:rsid w:val="33855073"/>
    <w:rsid w:val="36C31391"/>
    <w:rsid w:val="38012CDB"/>
    <w:rsid w:val="38B405A3"/>
    <w:rsid w:val="38D40545"/>
    <w:rsid w:val="39071DEA"/>
    <w:rsid w:val="39824978"/>
    <w:rsid w:val="3A0833F0"/>
    <w:rsid w:val="3A8A560A"/>
    <w:rsid w:val="3A9B4E35"/>
    <w:rsid w:val="3B221B49"/>
    <w:rsid w:val="3B260283"/>
    <w:rsid w:val="3B3D4877"/>
    <w:rsid w:val="3B5762D4"/>
    <w:rsid w:val="3BC25614"/>
    <w:rsid w:val="3C090610"/>
    <w:rsid w:val="3DB004A4"/>
    <w:rsid w:val="3E1A30BE"/>
    <w:rsid w:val="3E972F4F"/>
    <w:rsid w:val="3F0C1B98"/>
    <w:rsid w:val="40E2097D"/>
    <w:rsid w:val="41025FDC"/>
    <w:rsid w:val="414E77A0"/>
    <w:rsid w:val="41D818FF"/>
    <w:rsid w:val="42257672"/>
    <w:rsid w:val="44407A7A"/>
    <w:rsid w:val="4468000E"/>
    <w:rsid w:val="44BA136B"/>
    <w:rsid w:val="44C13B96"/>
    <w:rsid w:val="45811211"/>
    <w:rsid w:val="46FF81C3"/>
    <w:rsid w:val="47252F0B"/>
    <w:rsid w:val="4764111B"/>
    <w:rsid w:val="47655EE7"/>
    <w:rsid w:val="479541BC"/>
    <w:rsid w:val="47C11ABF"/>
    <w:rsid w:val="47F30FED"/>
    <w:rsid w:val="48DA5087"/>
    <w:rsid w:val="49B62ED0"/>
    <w:rsid w:val="4A171BA6"/>
    <w:rsid w:val="4A5228F3"/>
    <w:rsid w:val="4A5D44C0"/>
    <w:rsid w:val="4A7C4B03"/>
    <w:rsid w:val="4AFE13AF"/>
    <w:rsid w:val="4C006059"/>
    <w:rsid w:val="4CD44EED"/>
    <w:rsid w:val="4CE021AA"/>
    <w:rsid w:val="4D1F3742"/>
    <w:rsid w:val="4D677E3B"/>
    <w:rsid w:val="4E986233"/>
    <w:rsid w:val="4ED65438"/>
    <w:rsid w:val="52D47A26"/>
    <w:rsid w:val="5339356F"/>
    <w:rsid w:val="5378249E"/>
    <w:rsid w:val="53994558"/>
    <w:rsid w:val="53D904E5"/>
    <w:rsid w:val="54A363DE"/>
    <w:rsid w:val="54AF36A3"/>
    <w:rsid w:val="56546069"/>
    <w:rsid w:val="57D10C09"/>
    <w:rsid w:val="58410E5F"/>
    <w:rsid w:val="590859E9"/>
    <w:rsid w:val="59336E80"/>
    <w:rsid w:val="598071CA"/>
    <w:rsid w:val="59A80746"/>
    <w:rsid w:val="5A4F65D5"/>
    <w:rsid w:val="5A5D35BD"/>
    <w:rsid w:val="5B577C4A"/>
    <w:rsid w:val="5D170764"/>
    <w:rsid w:val="5D672D8C"/>
    <w:rsid w:val="5E494E4C"/>
    <w:rsid w:val="5E626CC7"/>
    <w:rsid w:val="5F1C3BA7"/>
    <w:rsid w:val="5F7D57C8"/>
    <w:rsid w:val="6196080A"/>
    <w:rsid w:val="62153874"/>
    <w:rsid w:val="62382DD5"/>
    <w:rsid w:val="62FA07ED"/>
    <w:rsid w:val="62FA6DF0"/>
    <w:rsid w:val="63087803"/>
    <w:rsid w:val="64034E24"/>
    <w:rsid w:val="64172905"/>
    <w:rsid w:val="64784648"/>
    <w:rsid w:val="64987B60"/>
    <w:rsid w:val="651C298D"/>
    <w:rsid w:val="652F4B75"/>
    <w:rsid w:val="65941563"/>
    <w:rsid w:val="66190D51"/>
    <w:rsid w:val="669C110D"/>
    <w:rsid w:val="66E15C7F"/>
    <w:rsid w:val="679D3C78"/>
    <w:rsid w:val="68764D9C"/>
    <w:rsid w:val="68A76628"/>
    <w:rsid w:val="69DC3989"/>
    <w:rsid w:val="6A51128C"/>
    <w:rsid w:val="6A5E661E"/>
    <w:rsid w:val="6B4C4A16"/>
    <w:rsid w:val="6BCF215A"/>
    <w:rsid w:val="6C2D6429"/>
    <w:rsid w:val="6EB403D2"/>
    <w:rsid w:val="6F2819FC"/>
    <w:rsid w:val="6FFD82E2"/>
    <w:rsid w:val="708C33AF"/>
    <w:rsid w:val="71126038"/>
    <w:rsid w:val="712F2CCB"/>
    <w:rsid w:val="72032B64"/>
    <w:rsid w:val="72DC4047"/>
    <w:rsid w:val="73F05170"/>
    <w:rsid w:val="747A081D"/>
    <w:rsid w:val="75B66387"/>
    <w:rsid w:val="75D05D5F"/>
    <w:rsid w:val="770B5364"/>
    <w:rsid w:val="77A73FE5"/>
    <w:rsid w:val="77C62232"/>
    <w:rsid w:val="78897035"/>
    <w:rsid w:val="78E07FB7"/>
    <w:rsid w:val="79346A36"/>
    <w:rsid w:val="7A1E4D3C"/>
    <w:rsid w:val="7A7E5F50"/>
    <w:rsid w:val="7AFFDAE1"/>
    <w:rsid w:val="7B191A84"/>
    <w:rsid w:val="7B871E7F"/>
    <w:rsid w:val="7C8A3917"/>
    <w:rsid w:val="7D6B20C3"/>
    <w:rsid w:val="7E550F62"/>
    <w:rsid w:val="7EB26116"/>
    <w:rsid w:val="7F4366D1"/>
    <w:rsid w:val="7FE44E96"/>
    <w:rsid w:val="D97B4A27"/>
    <w:rsid w:val="FB3D11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qFormat/>
    <w:uiPriority w:val="0"/>
    <w:rPr>
      <w:sz w:val="18"/>
      <w:szCs w:val="18"/>
    </w:rPr>
  </w:style>
  <w:style w:type="paragraph" w:styleId="3">
    <w:name w:val="footer"/>
    <w:basedOn w:val="1"/>
    <w:link w:val="17"/>
    <w:qFormat/>
    <w:uiPriority w:val="99"/>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000000"/>
      <w:sz w:val="18"/>
      <w:szCs w:val="18"/>
      <w:u w:val="none"/>
    </w:rPr>
  </w:style>
  <w:style w:type="character" w:styleId="10">
    <w:name w:val="Hyperlink"/>
    <w:basedOn w:val="8"/>
    <w:qFormat/>
    <w:uiPriority w:val="0"/>
    <w:rPr>
      <w:color w:val="0000FF"/>
      <w:u w:val="single"/>
    </w:rPr>
  </w:style>
  <w:style w:type="character" w:customStyle="1" w:styleId="11">
    <w:name w:val="font21"/>
    <w:basedOn w:val="8"/>
    <w:qFormat/>
    <w:uiPriority w:val="0"/>
    <w:rPr>
      <w:rFonts w:hint="eastAsia" w:ascii="仿宋" w:hAnsi="仿宋" w:eastAsia="仿宋" w:cs="仿宋"/>
      <w:color w:val="000000"/>
      <w:sz w:val="22"/>
      <w:szCs w:val="22"/>
      <w:u w:val="none"/>
    </w:rPr>
  </w:style>
  <w:style w:type="character" w:customStyle="1" w:styleId="12">
    <w:name w:val="font11"/>
    <w:basedOn w:val="8"/>
    <w:qFormat/>
    <w:uiPriority w:val="0"/>
    <w:rPr>
      <w:rFonts w:hint="eastAsia" w:ascii="宋体" w:hAnsi="宋体" w:eastAsia="宋体" w:cs="宋体"/>
      <w:color w:val="000000"/>
      <w:sz w:val="22"/>
      <w:szCs w:val="22"/>
      <w:u w:val="none"/>
    </w:rPr>
  </w:style>
  <w:style w:type="character" w:customStyle="1" w:styleId="13">
    <w:name w:val="font01"/>
    <w:basedOn w:val="8"/>
    <w:qFormat/>
    <w:uiPriority w:val="0"/>
    <w:rPr>
      <w:rFonts w:ascii="Arial" w:hAnsi="Arial" w:cs="Arial"/>
      <w:color w:val="000000"/>
      <w:sz w:val="22"/>
      <w:szCs w:val="22"/>
      <w:u w:val="none"/>
    </w:rPr>
  </w:style>
  <w:style w:type="character" w:customStyle="1" w:styleId="14">
    <w:name w:val="font31"/>
    <w:basedOn w:val="8"/>
    <w:qFormat/>
    <w:uiPriority w:val="0"/>
    <w:rPr>
      <w:rFonts w:ascii="宋体" w:hAnsi="宋体" w:eastAsia="宋体" w:cs="宋体"/>
      <w:color w:val="000000"/>
      <w:sz w:val="20"/>
      <w:szCs w:val="20"/>
      <w:u w:val="none"/>
    </w:rPr>
  </w:style>
  <w:style w:type="character" w:customStyle="1" w:styleId="15">
    <w:name w:val="font41"/>
    <w:basedOn w:val="8"/>
    <w:qFormat/>
    <w:uiPriority w:val="0"/>
    <w:rPr>
      <w:rFonts w:ascii="宋体" w:hAnsi="宋体" w:eastAsia="宋体" w:cs="宋体"/>
      <w:color w:val="000000"/>
      <w:sz w:val="20"/>
      <w:szCs w:val="20"/>
      <w:u w:val="none"/>
    </w:rPr>
  </w:style>
  <w:style w:type="character" w:customStyle="1" w:styleId="16">
    <w:name w:val="页眉 Char"/>
    <w:basedOn w:val="8"/>
    <w:link w:val="4"/>
    <w:qFormat/>
    <w:uiPriority w:val="0"/>
    <w:rPr>
      <w:rFonts w:asciiTheme="minorHAnsi" w:hAnsiTheme="minorHAnsi" w:cstheme="minorBidi"/>
      <w:kern w:val="2"/>
      <w:sz w:val="18"/>
      <w:szCs w:val="18"/>
    </w:rPr>
  </w:style>
  <w:style w:type="character" w:customStyle="1" w:styleId="17">
    <w:name w:val="页脚 Char"/>
    <w:basedOn w:val="8"/>
    <w:link w:val="3"/>
    <w:qFormat/>
    <w:uiPriority w:val="99"/>
    <w:rPr>
      <w:rFonts w:asciiTheme="minorHAnsi" w:hAnsiTheme="minorHAnsi" w:cstheme="minorBidi"/>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框文本 Char"/>
    <w:basedOn w:val="8"/>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1234</Words>
  <Characters>7037</Characters>
  <Lines>58</Lines>
  <Paragraphs>16</Paragraphs>
  <TotalTime>16</TotalTime>
  <ScaleCrop>false</ScaleCrop>
  <LinksUpToDate>false</LinksUpToDate>
  <CharactersWithSpaces>8255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2020-03-29T08:15:00Z</dcterms:created>
  <dc:creator>Dell</dc:creator>
  <cp:lastModifiedBy>dyxc</cp:lastModifiedBy>
  <cp:lastPrinted>2021-01-28T15:52:26Z</cp:lastPrinted>
  <dcterms:modified xsi:type="dcterms:W3CDTF">2021-01-28T15:54:26Z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